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14C82B">
      <w:pPr>
        <w:widowControl/>
        <w:jc w:val="center"/>
        <w:outlineLvl w:val="0"/>
        <w:rPr>
          <w:rFonts w:hint="eastAsia" w:ascii="宋体" w:hAnsi="宋体" w:eastAsia="宋体" w:cs="Times New Roman"/>
          <w:b/>
          <w:bCs/>
          <w:color w:val="auto"/>
          <w:kern w:val="28"/>
          <w:sz w:val="44"/>
          <w:highlight w:val="none"/>
          <w:lang w:val="en-US" w:eastAsia="zh-CN" w:bidi="en-US"/>
        </w:rPr>
      </w:pPr>
      <w:bookmarkStart w:id="0" w:name="_Toc18329"/>
      <w:r>
        <w:rPr>
          <w:rFonts w:hint="eastAsia" w:ascii="宋体" w:hAnsi="宋体" w:eastAsia="宋体" w:cs="Times New Roman"/>
          <w:b/>
          <w:bCs/>
          <w:color w:val="auto"/>
          <w:kern w:val="28"/>
          <w:sz w:val="44"/>
          <w:highlight w:val="none"/>
          <w:lang w:val="en-US" w:eastAsia="zh-CN" w:bidi="en-US"/>
        </w:rPr>
        <w:t xml:space="preserve">第三章  </w:t>
      </w:r>
      <w:bookmarkStart w:id="8" w:name="_GoBack"/>
      <w:r>
        <w:rPr>
          <w:rFonts w:hint="eastAsia" w:ascii="宋体" w:hAnsi="宋体" w:eastAsia="宋体" w:cs="Times New Roman"/>
          <w:b/>
          <w:bCs/>
          <w:color w:val="auto"/>
          <w:kern w:val="28"/>
          <w:sz w:val="44"/>
          <w:highlight w:val="none"/>
          <w:lang w:val="en-US" w:eastAsia="zh-CN" w:bidi="en-US"/>
        </w:rPr>
        <w:t>采购需求</w:t>
      </w:r>
      <w:bookmarkEnd w:id="0"/>
      <w:bookmarkEnd w:id="8"/>
    </w:p>
    <w:p w14:paraId="24848A80">
      <w:pPr>
        <w:keepNext/>
        <w:keepLines/>
        <w:widowControl w:val="0"/>
        <w:spacing w:line="400" w:lineRule="exact"/>
        <w:jc w:val="both"/>
        <w:outlineLvl w:val="2"/>
        <w:rPr>
          <w:rFonts w:hint="eastAsia" w:ascii="宋体" w:hAnsi="宋体" w:eastAsia="宋体" w:cs="Times New Roman"/>
          <w:b/>
          <w:bCs/>
          <w:color w:val="auto"/>
          <w:sz w:val="21"/>
          <w:szCs w:val="21"/>
          <w:highlight w:val="none"/>
          <w:lang w:val="en-US" w:eastAsia="zh-CN" w:bidi="ar-SA"/>
        </w:rPr>
      </w:pPr>
      <w:bookmarkStart w:id="1" w:name="_Toc106903034"/>
      <w:bookmarkStart w:id="2" w:name="_Toc26534"/>
      <w:bookmarkStart w:id="3" w:name="_Toc1721463"/>
      <w:r>
        <w:rPr>
          <w:rFonts w:hint="eastAsia" w:ascii="宋体" w:hAnsi="宋体" w:eastAsia="宋体" w:cs="Times New Roman"/>
          <w:b/>
          <w:bCs/>
          <w:color w:val="auto"/>
          <w:sz w:val="21"/>
          <w:szCs w:val="21"/>
          <w:highlight w:val="none"/>
          <w:lang w:val="en-US" w:eastAsia="zh-CN" w:bidi="ar-SA"/>
        </w:rPr>
        <w:t>一、</w:t>
      </w:r>
      <w:bookmarkEnd w:id="1"/>
      <w:bookmarkEnd w:id="2"/>
      <w:bookmarkEnd w:id="3"/>
      <w:r>
        <w:rPr>
          <w:rFonts w:hint="eastAsia" w:ascii="宋体" w:hAnsi="宋体" w:eastAsia="宋体" w:cs="Times New Roman"/>
          <w:b/>
          <w:bCs/>
          <w:color w:val="auto"/>
          <w:sz w:val="21"/>
          <w:szCs w:val="21"/>
          <w:highlight w:val="none"/>
          <w:lang w:val="en-US" w:eastAsia="zh-CN" w:bidi="ar-SA"/>
        </w:rPr>
        <w:t>项目概况</w:t>
      </w:r>
    </w:p>
    <w:p w14:paraId="465F184B">
      <w:pPr>
        <w:widowControl/>
        <w:spacing w:line="400" w:lineRule="exact"/>
        <w:ind w:firstLine="482"/>
        <w:jc w:val="both"/>
        <w:rPr>
          <w:rFonts w:hint="eastAsia" w:ascii="微软雅黑" w:hAnsi="微软雅黑" w:eastAsia="微软雅黑" w:cs="Times New Roman"/>
          <w:color w:val="auto"/>
          <w:sz w:val="21"/>
          <w:highlight w:val="none"/>
          <w:lang w:val="en-US" w:eastAsia="zh-CN" w:bidi="ar-SA"/>
        </w:rPr>
      </w:pPr>
      <w:r>
        <w:rPr>
          <w:rFonts w:hint="eastAsia" w:ascii="宋体" w:hAnsi="宋体" w:eastAsia="宋体" w:cs="Times New Roman"/>
          <w:color w:val="auto"/>
          <w:spacing w:val="14"/>
          <w:sz w:val="21"/>
          <w:szCs w:val="21"/>
          <w:highlight w:val="none"/>
          <w:lang w:val="en-US" w:eastAsia="zh-CN" w:bidi="ar-SA"/>
        </w:rPr>
        <w:t>本次采购项目为</w:t>
      </w:r>
      <w:r>
        <w:rPr>
          <w:rFonts w:hint="eastAsia" w:ascii="宋体" w:hAnsi="宋体" w:eastAsia="宋体" w:cs="Times New Roman"/>
          <w:color w:val="auto"/>
          <w:spacing w:val="14"/>
          <w:sz w:val="21"/>
          <w:szCs w:val="21"/>
          <w:highlight w:val="none"/>
          <w:u w:val="single"/>
          <w:lang w:val="en-US" w:eastAsia="zh-CN" w:bidi="ar-SA"/>
        </w:rPr>
        <w:t>河南经贸职业学院人工智能+智慧物业产教融合实训中心项目包2</w:t>
      </w:r>
      <w:r>
        <w:rPr>
          <w:rFonts w:hint="eastAsia" w:ascii="宋体" w:hAnsi="宋体" w:eastAsia="宋体" w:cs="Times New Roman"/>
          <w:color w:val="auto"/>
          <w:spacing w:val="14"/>
          <w:sz w:val="21"/>
          <w:szCs w:val="21"/>
          <w:highlight w:val="none"/>
          <w:lang w:val="en-US" w:eastAsia="zh-CN" w:bidi="ar-SA"/>
        </w:rPr>
        <w:t>，共2个包。</w:t>
      </w:r>
    </w:p>
    <w:p w14:paraId="72080239">
      <w:pPr>
        <w:widowControl/>
        <w:spacing w:line="400" w:lineRule="exact"/>
        <w:ind w:firstLine="482"/>
        <w:jc w:val="both"/>
        <w:rPr>
          <w:rFonts w:hint="eastAsia" w:ascii="宋体" w:hAnsi="宋体" w:eastAsia="宋体" w:cs="Times New Roman"/>
          <w:color w:val="auto"/>
          <w:spacing w:val="14"/>
          <w:sz w:val="21"/>
          <w:szCs w:val="21"/>
          <w:highlight w:val="none"/>
          <w:lang w:val="en-US" w:eastAsia="zh-CN" w:bidi="ar-SA"/>
        </w:rPr>
      </w:pPr>
      <w:r>
        <w:rPr>
          <w:rFonts w:hint="eastAsia" w:ascii="宋体" w:hAnsi="宋体" w:eastAsia="宋体" w:cs="Times New Roman"/>
          <w:color w:val="auto"/>
          <w:spacing w:val="14"/>
          <w:sz w:val="21"/>
          <w:szCs w:val="21"/>
          <w:highlight w:val="none"/>
          <w:lang w:val="en-US" w:eastAsia="zh-CN" w:bidi="ar-SA"/>
        </w:rPr>
        <w:t>本次采购标的对应的中小企业划分标准所属行业为：</w:t>
      </w:r>
      <w:r>
        <w:rPr>
          <w:rFonts w:hint="eastAsia" w:ascii="宋体" w:hAnsi="宋体" w:eastAsia="宋体" w:cs="Times New Roman"/>
          <w:color w:val="auto"/>
          <w:spacing w:val="14"/>
          <w:sz w:val="21"/>
          <w:szCs w:val="21"/>
          <w:highlight w:val="none"/>
          <w:u w:val="single"/>
          <w:lang w:val="en-US" w:eastAsia="zh-CN" w:bidi="ar-SA"/>
        </w:rPr>
        <w:t>软件和信息技术服务业</w:t>
      </w:r>
      <w:r>
        <w:rPr>
          <w:rFonts w:hint="eastAsia" w:ascii="宋体" w:hAnsi="宋体" w:eastAsia="宋体" w:cs="Times New Roman"/>
          <w:color w:val="auto"/>
          <w:spacing w:val="14"/>
          <w:sz w:val="21"/>
          <w:szCs w:val="21"/>
          <w:highlight w:val="none"/>
          <w:lang w:val="en-US" w:eastAsia="zh-CN" w:bidi="ar-SA"/>
        </w:rPr>
        <w:t>。</w:t>
      </w:r>
    </w:p>
    <w:p w14:paraId="3D846085">
      <w:pPr>
        <w:keepNext/>
        <w:keepLines/>
        <w:widowControl w:val="0"/>
        <w:spacing w:line="400" w:lineRule="exact"/>
        <w:jc w:val="both"/>
        <w:outlineLvl w:val="2"/>
        <w:rPr>
          <w:rFonts w:hint="eastAsia" w:ascii="宋体" w:hAnsi="宋体" w:eastAsia="宋体" w:cs="宋体"/>
          <w:b/>
          <w:bCs/>
          <w:color w:val="auto"/>
          <w:kern w:val="2"/>
          <w:sz w:val="21"/>
          <w:szCs w:val="21"/>
          <w:highlight w:val="none"/>
          <w:lang w:val="en-US" w:eastAsia="zh-CN" w:bidi="ar-SA"/>
        </w:rPr>
      </w:pPr>
      <w:bookmarkStart w:id="4" w:name="_Toc1721464"/>
      <w:bookmarkStart w:id="5" w:name="_Toc26447"/>
      <w:bookmarkStart w:id="6" w:name="_Toc106903035"/>
      <w:bookmarkStart w:id="7" w:name="_Toc238530903"/>
      <w:r>
        <w:rPr>
          <w:rFonts w:hint="eastAsia" w:ascii="宋体" w:hAnsi="宋体" w:eastAsia="宋体" w:cs="Times New Roman"/>
          <w:b/>
          <w:bCs/>
          <w:color w:val="auto"/>
          <w:sz w:val="21"/>
          <w:szCs w:val="21"/>
          <w:highlight w:val="none"/>
          <w:lang w:val="en-US" w:eastAsia="zh-CN" w:bidi="ar-SA"/>
        </w:rPr>
        <w:t>二、</w:t>
      </w:r>
      <w:bookmarkEnd w:id="4"/>
      <w:bookmarkEnd w:id="5"/>
      <w:bookmarkEnd w:id="6"/>
      <w:r>
        <w:rPr>
          <w:rFonts w:hint="eastAsia" w:ascii="宋体" w:hAnsi="宋体" w:eastAsia="宋体" w:cs="Times New Roman"/>
          <w:b/>
          <w:bCs/>
          <w:color w:val="auto"/>
          <w:sz w:val="21"/>
          <w:szCs w:val="21"/>
          <w:highlight w:val="none"/>
          <w:lang w:val="en-US" w:eastAsia="zh-CN" w:bidi="ar-SA"/>
        </w:rPr>
        <w:t>招标清单及技术参数/服务要求</w:t>
      </w:r>
    </w:p>
    <w:bookmarkEnd w:id="7"/>
    <w:tbl>
      <w:tblPr>
        <w:tblStyle w:val="4"/>
        <w:tblpPr w:leftFromText="181" w:rightFromText="181" w:vertAnchor="text" w:horzAnchor="page" w:tblpXSpec="center" w:tblpY="543"/>
        <w:tblOverlap w:val="never"/>
        <w:tblW w:w="102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070"/>
        <w:gridCol w:w="6927"/>
        <w:gridCol w:w="753"/>
        <w:gridCol w:w="810"/>
      </w:tblGrid>
      <w:tr w14:paraId="29FB7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64BE777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color w:val="auto"/>
                <w:kern w:val="2"/>
                <w:sz w:val="21"/>
                <w:szCs w:val="21"/>
                <w:highlight w:val="none"/>
                <w:lang w:eastAsia="zh-Hans"/>
              </w:rPr>
            </w:pPr>
            <w:r>
              <w:rPr>
                <w:rFonts w:hint="eastAsia" w:ascii="宋体" w:hAnsi="宋体" w:eastAsia="宋体" w:cs="宋体"/>
                <w:b/>
                <w:bCs/>
                <w:color w:val="auto"/>
                <w:kern w:val="2"/>
                <w:sz w:val="21"/>
                <w:szCs w:val="21"/>
                <w:highlight w:val="none"/>
                <w:lang w:eastAsia="zh-Hans"/>
              </w:rPr>
              <w:t>序号</w:t>
            </w:r>
          </w:p>
        </w:tc>
        <w:tc>
          <w:tcPr>
            <w:tcW w:w="1070" w:type="dxa"/>
            <w:noWrap w:val="0"/>
            <w:vAlign w:val="center"/>
          </w:tcPr>
          <w:p w14:paraId="1897A46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color w:val="auto"/>
                <w:kern w:val="2"/>
                <w:sz w:val="21"/>
                <w:szCs w:val="21"/>
                <w:highlight w:val="none"/>
                <w:lang w:eastAsia="zh-Hans"/>
              </w:rPr>
            </w:pPr>
            <w:r>
              <w:rPr>
                <w:rFonts w:hint="eastAsia" w:ascii="宋体" w:hAnsi="宋体" w:eastAsia="宋体" w:cs="宋体"/>
                <w:b/>
                <w:bCs/>
                <w:color w:val="auto"/>
                <w:kern w:val="2"/>
                <w:sz w:val="21"/>
                <w:szCs w:val="21"/>
                <w:highlight w:val="none"/>
                <w:lang w:eastAsia="zh-Hans"/>
              </w:rPr>
              <w:t>名称</w:t>
            </w:r>
          </w:p>
        </w:tc>
        <w:tc>
          <w:tcPr>
            <w:tcW w:w="6927" w:type="dxa"/>
            <w:noWrap w:val="0"/>
            <w:vAlign w:val="center"/>
          </w:tcPr>
          <w:p w14:paraId="7F44893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color w:val="auto"/>
                <w:kern w:val="2"/>
                <w:sz w:val="21"/>
                <w:szCs w:val="21"/>
                <w:highlight w:val="none"/>
                <w:lang w:eastAsia="zh-Hans"/>
              </w:rPr>
            </w:pPr>
            <w:r>
              <w:rPr>
                <w:rFonts w:hint="eastAsia" w:ascii="宋体" w:hAnsi="宋体" w:eastAsia="宋体" w:cs="宋体"/>
                <w:b/>
                <w:bCs/>
                <w:color w:val="auto"/>
                <w:kern w:val="2"/>
                <w:sz w:val="21"/>
                <w:szCs w:val="21"/>
                <w:highlight w:val="none"/>
                <w:lang w:eastAsia="zh-Hans"/>
              </w:rPr>
              <w:t>技术参数</w:t>
            </w:r>
          </w:p>
        </w:tc>
        <w:tc>
          <w:tcPr>
            <w:tcW w:w="753" w:type="dxa"/>
            <w:noWrap w:val="0"/>
            <w:vAlign w:val="center"/>
          </w:tcPr>
          <w:p w14:paraId="6BCC01F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color w:val="auto"/>
                <w:kern w:val="2"/>
                <w:sz w:val="21"/>
                <w:szCs w:val="21"/>
                <w:highlight w:val="none"/>
                <w:lang w:eastAsia="zh-Hans"/>
              </w:rPr>
            </w:pPr>
            <w:r>
              <w:rPr>
                <w:rFonts w:hint="eastAsia" w:ascii="宋体" w:hAnsi="宋体" w:eastAsia="宋体" w:cs="宋体"/>
                <w:b/>
                <w:bCs/>
                <w:color w:val="auto"/>
                <w:kern w:val="2"/>
                <w:sz w:val="21"/>
                <w:szCs w:val="21"/>
                <w:highlight w:val="none"/>
                <w:lang w:eastAsia="zh-Hans"/>
              </w:rPr>
              <w:t>数量</w:t>
            </w:r>
          </w:p>
        </w:tc>
        <w:tc>
          <w:tcPr>
            <w:tcW w:w="810" w:type="dxa"/>
            <w:noWrap w:val="0"/>
            <w:vAlign w:val="center"/>
          </w:tcPr>
          <w:p w14:paraId="5EF82C4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color w:val="auto"/>
                <w:kern w:val="2"/>
                <w:sz w:val="21"/>
                <w:szCs w:val="21"/>
                <w:highlight w:val="none"/>
                <w:lang w:eastAsia="zh-Hans"/>
              </w:rPr>
            </w:pPr>
            <w:r>
              <w:rPr>
                <w:rFonts w:hint="eastAsia" w:ascii="宋体" w:hAnsi="宋体" w:eastAsia="宋体" w:cs="宋体"/>
                <w:b/>
                <w:bCs/>
                <w:color w:val="auto"/>
                <w:kern w:val="2"/>
                <w:sz w:val="21"/>
                <w:szCs w:val="21"/>
                <w:highlight w:val="none"/>
                <w:lang w:eastAsia="zh-Hans"/>
              </w:rPr>
              <w:t>单位</w:t>
            </w:r>
          </w:p>
        </w:tc>
      </w:tr>
      <w:tr w14:paraId="44B2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73C995D7">
            <w:pPr>
              <w:keepNext w:val="0"/>
              <w:keepLines w:val="0"/>
              <w:pageBreakBefore w:val="0"/>
              <w:widowControl w:val="0"/>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rPr>
              <w:t>1</w:t>
            </w:r>
          </w:p>
        </w:tc>
        <w:tc>
          <w:tcPr>
            <w:tcW w:w="1070" w:type="dxa"/>
            <w:noWrap w:val="0"/>
            <w:vAlign w:val="center"/>
          </w:tcPr>
          <w:p w14:paraId="5F924911">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color w:val="auto"/>
                <w:kern w:val="0"/>
                <w:sz w:val="21"/>
                <w:szCs w:val="21"/>
                <w:highlight w:val="none"/>
              </w:rPr>
              <w:t>数字教材公开发行出版</w:t>
            </w:r>
          </w:p>
        </w:tc>
        <w:tc>
          <w:tcPr>
            <w:tcW w:w="6927" w:type="dxa"/>
            <w:noWrap w:val="0"/>
            <w:vAlign w:val="center"/>
          </w:tcPr>
          <w:p w14:paraId="55438C56">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1.校方教师团队完成教材内容的编写，供应商按照校方的要求负责数字教材的编辑审定、排版设计、ISBN号申请及公开发行出版工作。</w:t>
            </w:r>
          </w:p>
          <w:p w14:paraId="71B428B5">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2.提供专业编辑审订服务，提供ISBN号，保护知识产权。</w:t>
            </w:r>
          </w:p>
          <w:p w14:paraId="30A9D4D4">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3.公开发行出版包含：PPT、活动、视频、</w:t>
            </w:r>
            <w:r>
              <w:rPr>
                <w:rFonts w:hint="eastAsia" w:ascii="宋体" w:hAnsi="宋体" w:eastAsia="宋体" w:cs="宋体"/>
                <w:color w:val="auto"/>
                <w:kern w:val="0"/>
                <w:sz w:val="21"/>
                <w:szCs w:val="21"/>
                <w:highlight w:val="none"/>
                <w:lang w:val="en-US" w:eastAsia="zh-CN"/>
              </w:rPr>
              <w:t>图片、</w:t>
            </w:r>
            <w:r>
              <w:rPr>
                <w:rFonts w:hint="eastAsia" w:ascii="宋体" w:hAnsi="宋体" w:eastAsia="宋体" w:cs="宋体"/>
                <w:color w:val="auto"/>
                <w:kern w:val="0"/>
                <w:sz w:val="21"/>
                <w:szCs w:val="21"/>
                <w:highlight w:val="none"/>
              </w:rPr>
              <w:t>动画、讨论、章节测验、拓展阅读、作业、考试等内容的数字教材。</w:t>
            </w:r>
          </w:p>
          <w:p w14:paraId="7AD99255">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4.数字教材可通过移动端、PC端应用于教学，支持辅助教学、翻转课堂、混合教学、直播课堂等多种网络教学模式。</w:t>
            </w:r>
          </w:p>
          <w:p w14:paraId="2BCDDF8B">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5.提供平台支持整个教材内容编辑、内容共享、学习过程跟踪和控制、在线测试和作业发布、交流互动、成绩评测和学习成果反馈教学流程，实现信息技术与教学过程的深度融合。</w:t>
            </w:r>
          </w:p>
          <w:p w14:paraId="6A41C213">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6.支持视频中任意时间点插入测验题（包含单选题、多选题和对错题）。</w:t>
            </w:r>
          </w:p>
          <w:p w14:paraId="5E90E73A">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7.针对不同的角色，可呈现不同的教材内容。教师端除了可查看和使用教材主体内容外，可使用教材中配套的PPT课件进行备课和课堂教学，也可使用教材的配套题库进行课程作业和考试的组建和发放。</w:t>
            </w:r>
          </w:p>
          <w:p w14:paraId="162D03F0">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8.提供笔记功能，学生可以通过图片、文字、链接、位置等方式记录学习内容。</w:t>
            </w:r>
          </w:p>
          <w:p w14:paraId="11A91CC5">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9.管理后台支持教材封面的上传，教材名称、教材主编、责任编辑、出版社、ISBN号、版次、教材内容简介等信息的编辑。</w:t>
            </w:r>
          </w:p>
          <w:p w14:paraId="43290AF3">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10.教材付费管理：教材发布出版后，可根据实际情况设置付费或免费，付费教材的购买记录可通过后台形成数据统计。</w:t>
            </w:r>
          </w:p>
          <w:p w14:paraId="08AFA815">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11.数字教材及数字教材相关资源知识产权归学校所有。</w:t>
            </w:r>
          </w:p>
          <w:p w14:paraId="5A73D772">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val="en-US" w:eastAsia="zh-Hans"/>
              </w:rPr>
            </w:pPr>
            <w:r>
              <w:rPr>
                <w:rFonts w:hint="eastAsia" w:ascii="宋体" w:hAnsi="宋体" w:eastAsia="宋体" w:cs="宋体"/>
                <w:b w:val="0"/>
                <w:bCs w:val="0"/>
                <w:color w:val="auto"/>
                <w:kern w:val="2"/>
                <w:sz w:val="21"/>
                <w:szCs w:val="21"/>
                <w:highlight w:val="none"/>
                <w:lang w:val="en-US" w:eastAsia="zh-CN"/>
              </w:rPr>
              <w:t>12.</w:t>
            </w:r>
            <w:r>
              <w:rPr>
                <w:rFonts w:hint="eastAsia" w:ascii="宋体" w:hAnsi="宋体" w:eastAsia="宋体" w:cs="宋体"/>
                <w:b w:val="0"/>
                <w:bCs w:val="0"/>
                <w:color w:val="auto"/>
                <w:kern w:val="2"/>
                <w:sz w:val="21"/>
                <w:szCs w:val="21"/>
                <w:highlight w:val="none"/>
                <w:lang w:val="en-US" w:eastAsia="zh-Hans"/>
              </w:rPr>
              <w:t>数字教材平台要求如下：</w:t>
            </w:r>
            <w:r>
              <w:rPr>
                <w:rFonts w:hint="eastAsia" w:ascii="宋体" w:hAnsi="宋体" w:eastAsia="宋体" w:cs="宋体"/>
                <w:b w:val="0"/>
                <w:bCs w:val="0"/>
                <w:color w:val="auto"/>
                <w:kern w:val="2"/>
                <w:sz w:val="21"/>
                <w:szCs w:val="21"/>
                <w:highlight w:val="none"/>
                <w:lang w:val="en-US" w:eastAsia="zh-Hans"/>
              </w:rPr>
              <w:br w:type="textWrapping"/>
            </w:r>
            <w:r>
              <w:rPr>
                <w:rFonts w:hint="eastAsia" w:ascii="宋体" w:hAnsi="宋体" w:eastAsia="宋体" w:cs="宋体"/>
                <w:b w:val="0"/>
                <w:bCs w:val="0"/>
                <w:color w:val="auto"/>
                <w:kern w:val="2"/>
                <w:sz w:val="21"/>
                <w:szCs w:val="21"/>
                <w:highlight w:val="none"/>
                <w:lang w:val="en-US" w:eastAsia="zh-Hans"/>
              </w:rPr>
              <w:t>（1）用户管理：支持用户注册、登录、信息修改及权限分配功能。提供密码重置、用户禁用、多角色（管理员、教师、学生、创作者）权限动态调整能力。</w:t>
            </w:r>
          </w:p>
          <w:p w14:paraId="287E0862">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val="en-US" w:eastAsia="zh-Hans"/>
              </w:rPr>
            </w:pPr>
            <w:r>
              <w:rPr>
                <w:rFonts w:hint="eastAsia" w:ascii="宋体" w:hAnsi="宋体" w:eastAsia="宋体" w:cs="宋体"/>
                <w:b w:val="0"/>
                <w:bCs w:val="0"/>
                <w:color w:val="auto"/>
                <w:kern w:val="2"/>
                <w:sz w:val="21"/>
                <w:szCs w:val="21"/>
                <w:highlight w:val="none"/>
                <w:lang w:val="en-US" w:eastAsia="zh-Hans"/>
              </w:rPr>
              <w:t>★（2）内容管理：支持文本、图片、视频、3D模型等多媒体资源编辑与排版。提供多种预设模板样式，支持字体（字号、颜色、加粗、斜体等）、段落格式（对齐、行距、缩进）、上下标等排版操作。（须提供功能截图进行佐证）</w:t>
            </w:r>
          </w:p>
          <w:p w14:paraId="211A9E54">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val="en-US" w:eastAsia="zh-Hans"/>
              </w:rPr>
            </w:pPr>
            <w:r>
              <w:rPr>
                <w:rFonts w:hint="eastAsia" w:ascii="宋体" w:hAnsi="宋体" w:eastAsia="宋体" w:cs="宋体"/>
                <w:b w:val="0"/>
                <w:bCs w:val="0"/>
                <w:color w:val="auto"/>
                <w:kern w:val="2"/>
                <w:sz w:val="21"/>
                <w:szCs w:val="21"/>
                <w:highlight w:val="none"/>
                <w:lang w:val="en-US" w:eastAsia="zh-Hans"/>
              </w:rPr>
              <w:t>（3）权限控制：支持基于角色的权限分配（如教材编辑权、审校权、发版权）。提供教材授权配置功能，可设置出版社管理、高校管理、总台管理、编创者、教师、学生等用户角色。</w:t>
            </w:r>
          </w:p>
          <w:p w14:paraId="7C47D8C2">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val="en-US" w:eastAsia="zh-Hans"/>
              </w:rPr>
            </w:pPr>
            <w:r>
              <w:rPr>
                <w:rFonts w:hint="eastAsia" w:ascii="宋体" w:hAnsi="宋体" w:eastAsia="宋体" w:cs="宋体"/>
                <w:b w:val="0"/>
                <w:bCs w:val="0"/>
                <w:color w:val="auto"/>
                <w:kern w:val="2"/>
                <w:sz w:val="21"/>
                <w:szCs w:val="21"/>
                <w:highlight w:val="none"/>
                <w:lang w:val="en-US" w:eastAsia="zh-Hans"/>
              </w:rPr>
              <w:t>（4）界面展示：导航菜单总计包含首页、教材库、出版社、书架、出版服务、AI班课、个人中心七大模块。支持根据各角色权限显示不同菜单。显示轮播图支持动态内容展示及跳转链接配置，可设置显示、隐藏状态。</w:t>
            </w:r>
          </w:p>
          <w:p w14:paraId="26CF0C74">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val="en-US" w:eastAsia="zh-Hans"/>
              </w:rPr>
            </w:pPr>
            <w:r>
              <w:rPr>
                <w:rFonts w:hint="eastAsia" w:ascii="宋体" w:hAnsi="宋体" w:eastAsia="宋体" w:cs="宋体"/>
                <w:b w:val="0"/>
                <w:bCs w:val="0"/>
                <w:color w:val="auto"/>
                <w:kern w:val="2"/>
                <w:sz w:val="21"/>
                <w:szCs w:val="21"/>
                <w:highlight w:val="none"/>
                <w:lang w:val="en-US" w:eastAsia="zh-Hans"/>
              </w:rPr>
              <w:t>★（5）学习工具：阅读笔记支持文本编辑、全文检索、笔记关联跳转知识点、高亮、划线、翻译、复制、AI问答。测评系统包含在线答题、自动批改、错题解析功能，支持单选题、多选题、判断题、填空题、连线、排序、综合题、简答题。（须提供功能截图进行佐证）</w:t>
            </w:r>
          </w:p>
          <w:p w14:paraId="6669D021">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val="en-US" w:eastAsia="zh-Hans"/>
              </w:rPr>
            </w:pPr>
            <w:r>
              <w:rPr>
                <w:rFonts w:hint="eastAsia" w:ascii="宋体" w:hAnsi="宋体" w:eastAsia="宋体" w:cs="宋体"/>
                <w:b w:val="0"/>
                <w:bCs w:val="0"/>
                <w:color w:val="auto"/>
                <w:kern w:val="2"/>
                <w:sz w:val="21"/>
                <w:szCs w:val="21"/>
                <w:highlight w:val="none"/>
                <w:lang w:val="en-US" w:eastAsia="zh-Hans"/>
              </w:rPr>
              <w:t>★（6）课堂数据看板：可查看签到次数和签到率、提问次数和人均提问次数、答疑次数和回复率、学习进度、测试提交率、提交次数、考试及格率、资源查看及下载次数、课堂活跃度、成绩分析（课堂提问结果数据分布、测试平均分、作业结果按优秀良好尚可一般较差等分布、考试按及格不及格结果分布）。（须提供功能截图进行佐证）</w:t>
            </w:r>
          </w:p>
          <w:p w14:paraId="5DDE2392">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val="en-US" w:eastAsia="zh-Hans"/>
              </w:rPr>
            </w:pPr>
            <w:r>
              <w:rPr>
                <w:rFonts w:hint="eastAsia" w:ascii="宋体" w:hAnsi="宋体" w:eastAsia="宋体" w:cs="宋体"/>
                <w:b w:val="0"/>
                <w:bCs w:val="0"/>
                <w:color w:val="auto"/>
                <w:kern w:val="2"/>
                <w:sz w:val="21"/>
                <w:szCs w:val="21"/>
                <w:highlight w:val="none"/>
                <w:lang w:val="en-US" w:eastAsia="zh-Hans"/>
              </w:rPr>
              <w:t>★（7）多媒体交互：支持插入视频、图片、画廊（多图轮播）、公式编辑器、3D模型、代码块、调查问卷、习题、表格分栏、学习反思、H5、虚拟交互等交互组件。（须提供功能截图进行佐证）</w:t>
            </w:r>
          </w:p>
          <w:p w14:paraId="09A9194F">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val="en-US" w:eastAsia="zh-Hans"/>
              </w:rPr>
            </w:pPr>
            <w:r>
              <w:rPr>
                <w:rFonts w:hint="eastAsia" w:ascii="宋体" w:hAnsi="宋体" w:eastAsia="宋体" w:cs="宋体"/>
                <w:b w:val="0"/>
                <w:bCs w:val="0"/>
                <w:color w:val="auto"/>
                <w:kern w:val="2"/>
                <w:sz w:val="21"/>
                <w:szCs w:val="21"/>
                <w:highlight w:val="none"/>
                <w:lang w:val="en-US" w:eastAsia="zh-CN"/>
              </w:rPr>
              <w:t>★</w:t>
            </w:r>
            <w:r>
              <w:rPr>
                <w:rFonts w:hint="eastAsia" w:ascii="宋体" w:hAnsi="宋体" w:eastAsia="宋体" w:cs="宋体"/>
                <w:b w:val="0"/>
                <w:bCs w:val="0"/>
                <w:color w:val="auto"/>
                <w:kern w:val="2"/>
                <w:sz w:val="21"/>
                <w:szCs w:val="21"/>
                <w:highlight w:val="none"/>
                <w:lang w:val="en-US" w:eastAsia="zh-Hans"/>
              </w:rPr>
              <w:t>（8）AI工具应用：生成本章引言、生成学习目标、生成关键术语、生成章节大纲、生成本章总结、AI内容扩写、语法审校、AI配图、AI出题。（须提供功能截图进行佐证）</w:t>
            </w:r>
          </w:p>
          <w:p w14:paraId="64A962C9">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val="en-US" w:eastAsia="zh-Hans"/>
              </w:rPr>
            </w:pPr>
            <w:r>
              <w:rPr>
                <w:rFonts w:hint="eastAsia" w:ascii="宋体" w:hAnsi="宋体" w:eastAsia="宋体" w:cs="宋体"/>
                <w:b w:val="0"/>
                <w:bCs w:val="0"/>
                <w:color w:val="auto"/>
                <w:kern w:val="2"/>
                <w:sz w:val="21"/>
                <w:szCs w:val="21"/>
                <w:highlight w:val="none"/>
                <w:lang w:val="en-US" w:eastAsia="zh-CN"/>
              </w:rPr>
              <w:t>★</w:t>
            </w:r>
            <w:r>
              <w:rPr>
                <w:rFonts w:hint="eastAsia" w:ascii="宋体" w:hAnsi="宋体" w:eastAsia="宋体" w:cs="宋体"/>
                <w:b w:val="0"/>
                <w:bCs w:val="0"/>
                <w:color w:val="auto"/>
                <w:kern w:val="2"/>
                <w:sz w:val="21"/>
                <w:szCs w:val="21"/>
                <w:highlight w:val="none"/>
                <w:lang w:val="en-US" w:eastAsia="zh-Hans"/>
              </w:rPr>
              <w:t>（9）在线协调编辑：多人协同编辑支持实时保存、异常操作回撤、审阅批注。发版申请支持线上三审三校流程（创作者提交→出版社审校→出版社责任编辑发布）。（须提供功能截图进行佐证）</w:t>
            </w:r>
          </w:p>
          <w:p w14:paraId="685E4DE2">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val="en-US" w:eastAsia="zh-Hans"/>
              </w:rPr>
            </w:pPr>
            <w:r>
              <w:rPr>
                <w:rFonts w:hint="eastAsia" w:ascii="宋体" w:hAnsi="宋体" w:eastAsia="宋体" w:cs="宋体"/>
                <w:b w:val="0"/>
                <w:bCs w:val="0"/>
                <w:color w:val="auto"/>
                <w:kern w:val="2"/>
                <w:sz w:val="21"/>
                <w:szCs w:val="21"/>
                <w:highlight w:val="none"/>
                <w:lang w:val="en-US" w:eastAsia="zh-CN"/>
              </w:rPr>
              <w:t>★</w:t>
            </w:r>
            <w:r>
              <w:rPr>
                <w:rFonts w:hint="eastAsia" w:ascii="宋体" w:hAnsi="宋体" w:eastAsia="宋体" w:cs="宋体"/>
                <w:b w:val="0"/>
                <w:bCs w:val="0"/>
                <w:color w:val="auto"/>
                <w:kern w:val="2"/>
                <w:sz w:val="21"/>
                <w:szCs w:val="21"/>
                <w:highlight w:val="none"/>
                <w:lang w:val="en-US" w:eastAsia="zh-Hans"/>
              </w:rPr>
              <w:t>（10）知识图谱：自动生成教材知识点网状结构，可手动编辑修改，添加图谱节点，支持跨学科知识关联。提供可视化图谱编辑器，可手动调整节点关系与层级。（须提供功能截图进行佐证）</w:t>
            </w:r>
          </w:p>
          <w:p w14:paraId="6FE008E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val="en-US" w:eastAsia="zh-Hans"/>
              </w:rPr>
            </w:pPr>
            <w:r>
              <w:rPr>
                <w:rFonts w:hint="eastAsia" w:ascii="宋体" w:hAnsi="宋体" w:eastAsia="宋体" w:cs="宋体"/>
                <w:b w:val="0"/>
                <w:bCs w:val="0"/>
                <w:color w:val="auto"/>
                <w:kern w:val="2"/>
                <w:sz w:val="21"/>
                <w:szCs w:val="21"/>
                <w:highlight w:val="none"/>
                <w:lang w:val="en-US" w:eastAsia="zh-Hans"/>
              </w:rPr>
              <w:t>（11）教材管理：支持教材创建、上下级架构设置（章-节-知识点）、资源配置可导入作业、课件、交互式视频、虚拟仿真、主题讨论、3D。提供解锁码批量生成、废弃、导出操作。</w:t>
            </w:r>
          </w:p>
          <w:p w14:paraId="400E29CD">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val="en-US" w:eastAsia="zh-Hans"/>
              </w:rPr>
            </w:pPr>
            <w:r>
              <w:rPr>
                <w:rFonts w:hint="eastAsia" w:ascii="宋体" w:hAnsi="宋体" w:eastAsia="宋体" w:cs="宋体"/>
                <w:b w:val="0"/>
                <w:bCs w:val="0"/>
                <w:color w:val="auto"/>
                <w:kern w:val="2"/>
                <w:sz w:val="21"/>
                <w:szCs w:val="21"/>
                <w:highlight w:val="none"/>
                <w:lang w:val="en-US" w:eastAsia="zh-CN"/>
              </w:rPr>
              <w:t>★</w:t>
            </w:r>
            <w:r>
              <w:rPr>
                <w:rFonts w:hint="eastAsia" w:ascii="宋体" w:hAnsi="宋体" w:eastAsia="宋体" w:cs="宋体"/>
                <w:b w:val="0"/>
                <w:bCs w:val="0"/>
                <w:color w:val="auto"/>
                <w:kern w:val="2"/>
                <w:sz w:val="21"/>
                <w:szCs w:val="21"/>
                <w:highlight w:val="none"/>
                <w:lang w:val="en-US" w:eastAsia="zh-Hans"/>
              </w:rPr>
              <w:t>（12）习题库管理：提供5种题型模板（单选、多选、判断、填空、简答），支持批量导入.xlsx格式习题，自动解析题干、选项、答案，支持自动/手动组卷。可从题库同时选择单选、多选、判断、填空、简答题组卷，试卷支持排序调整、答案解析配置。（须提供功能截图进行佐证）</w:t>
            </w:r>
          </w:p>
          <w:p w14:paraId="51437710">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val="en-US" w:eastAsia="zh-Hans"/>
              </w:rPr>
            </w:pPr>
            <w:r>
              <w:rPr>
                <w:rFonts w:hint="eastAsia" w:ascii="宋体" w:hAnsi="宋体" w:eastAsia="宋体" w:cs="宋体"/>
                <w:b w:val="0"/>
                <w:bCs w:val="0"/>
                <w:color w:val="auto"/>
                <w:kern w:val="2"/>
                <w:sz w:val="21"/>
                <w:szCs w:val="21"/>
                <w:highlight w:val="none"/>
                <w:lang w:val="en-US" w:eastAsia="zh-Hans"/>
              </w:rPr>
              <w:t>（13）订单处理：线上订单自动归类，付费后自动解锁阅读。提供订单状态筛选（待处理、已完成、异常订单）。</w:t>
            </w:r>
          </w:p>
          <w:p w14:paraId="6E67EF9D">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lang w:val="en-US" w:eastAsia="zh-Hans"/>
              </w:rPr>
              <w:t>（14）教材标签管理：教材类别支持不少于三级分类设置（如"工学→计算机→编程语言"）。标签系统支持自定义属性（如"国家级规划教材""校企合作项目"）。</w:t>
            </w:r>
          </w:p>
        </w:tc>
        <w:tc>
          <w:tcPr>
            <w:tcW w:w="753" w:type="dxa"/>
            <w:noWrap w:val="0"/>
            <w:vAlign w:val="center"/>
          </w:tcPr>
          <w:p w14:paraId="55E7E730">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color w:val="auto"/>
                <w:kern w:val="0"/>
                <w:sz w:val="21"/>
                <w:szCs w:val="21"/>
                <w:highlight w:val="none"/>
              </w:rPr>
              <w:t>2</w:t>
            </w:r>
          </w:p>
        </w:tc>
        <w:tc>
          <w:tcPr>
            <w:tcW w:w="810" w:type="dxa"/>
            <w:noWrap w:val="0"/>
            <w:vAlign w:val="center"/>
          </w:tcPr>
          <w:p w14:paraId="77963B1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rPr>
              <w:t>部</w:t>
            </w:r>
          </w:p>
        </w:tc>
      </w:tr>
      <w:tr w14:paraId="03850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30082F1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rPr>
              <w:t>2</w:t>
            </w:r>
          </w:p>
        </w:tc>
        <w:tc>
          <w:tcPr>
            <w:tcW w:w="1070" w:type="dxa"/>
            <w:noWrap w:val="0"/>
            <w:vAlign w:val="center"/>
          </w:tcPr>
          <w:p w14:paraId="4ECB6B13">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color w:val="auto"/>
                <w:kern w:val="0"/>
                <w:sz w:val="21"/>
                <w:szCs w:val="21"/>
                <w:highlight w:val="none"/>
              </w:rPr>
              <w:t>教材宣传片</w:t>
            </w:r>
          </w:p>
        </w:tc>
        <w:tc>
          <w:tcPr>
            <w:tcW w:w="6927" w:type="dxa"/>
            <w:noWrap w:val="0"/>
            <w:vAlign w:val="center"/>
          </w:tcPr>
          <w:p w14:paraId="6570FA8A">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lang w:eastAsia="zh-Hans"/>
              </w:rPr>
              <w:t>1.教材宣传片采用高清视频格式制作，成片时长控制在3至5分钟，分辨率不低于1920×1080（16：9宽屏），文件格式为MP4，视频编码采用H.264，帧率设置为25fps或30fps，确保在不同终端（电脑、投影、手机）播放时画面流畅、清晰稳定。</w:t>
            </w:r>
          </w:p>
          <w:p w14:paraId="0E3391EE">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lang w:eastAsia="zh-Hans"/>
              </w:rPr>
              <w:t>2.宣传片说明教材的定位、适用学段与课程性质，点明编写背景或政策依据。主体部分重点呈现教材的核心内容体系、章节组织特色、典型模块设计，以及配套教学资源。</w:t>
            </w:r>
          </w:p>
          <w:p w14:paraId="2B71D883">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lang w:eastAsia="zh-Hans"/>
              </w:rPr>
              <w:t>3.全片采用专业旁白配音，普通话标准，并配以与旁白同步的字幕，字幕字体清晰、位置固定。画面素材包括教材实物拍摄（封面、封底、内页版式）、关键图表或模块截图，可穿插课堂教学或线上使用的示意镜头。全片色调统一，转场简洁，不出现花哨特效。</w:t>
            </w:r>
          </w:p>
        </w:tc>
        <w:tc>
          <w:tcPr>
            <w:tcW w:w="753" w:type="dxa"/>
            <w:noWrap w:val="0"/>
            <w:vAlign w:val="center"/>
          </w:tcPr>
          <w:p w14:paraId="2F60A860">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color w:val="auto"/>
                <w:kern w:val="0"/>
                <w:sz w:val="21"/>
                <w:szCs w:val="21"/>
                <w:highlight w:val="none"/>
              </w:rPr>
              <w:t>2</w:t>
            </w:r>
          </w:p>
        </w:tc>
        <w:tc>
          <w:tcPr>
            <w:tcW w:w="810" w:type="dxa"/>
            <w:noWrap w:val="0"/>
            <w:vAlign w:val="center"/>
          </w:tcPr>
          <w:p w14:paraId="2CF18A4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lang w:eastAsia="zh-Hans"/>
              </w:rPr>
              <w:t>个</w:t>
            </w:r>
          </w:p>
        </w:tc>
      </w:tr>
      <w:tr w14:paraId="15B11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52B001C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rPr>
              <w:t>3</w:t>
            </w:r>
          </w:p>
        </w:tc>
        <w:tc>
          <w:tcPr>
            <w:tcW w:w="1070" w:type="dxa"/>
            <w:noWrap w:val="0"/>
            <w:vAlign w:val="center"/>
          </w:tcPr>
          <w:p w14:paraId="2A2AA025">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sz w:val="21"/>
                <w:szCs w:val="21"/>
                <w:highlight w:val="none"/>
                <w:lang w:eastAsia="zh-Hans"/>
              </w:rPr>
            </w:pPr>
            <w:r>
              <w:rPr>
                <w:rFonts w:hint="eastAsia" w:ascii="宋体" w:hAnsi="宋体" w:eastAsia="宋体" w:cs="宋体"/>
                <w:color w:val="auto"/>
                <w:kern w:val="0"/>
                <w:sz w:val="21"/>
                <w:szCs w:val="21"/>
                <w:highlight w:val="none"/>
              </w:rPr>
              <w:t>实操视频</w:t>
            </w:r>
          </w:p>
        </w:tc>
        <w:tc>
          <w:tcPr>
            <w:tcW w:w="6927" w:type="dxa"/>
            <w:noWrap w:val="0"/>
            <w:vAlign w:val="top"/>
          </w:tcPr>
          <w:p w14:paraId="388AAA38">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Hans"/>
              </w:rPr>
            </w:pPr>
            <w:r>
              <w:rPr>
                <w:rFonts w:hint="eastAsia" w:ascii="宋体" w:hAnsi="宋体" w:eastAsia="宋体" w:cs="宋体"/>
                <w:b w:val="0"/>
                <w:bCs w:val="0"/>
                <w:color w:val="auto"/>
                <w:sz w:val="21"/>
                <w:szCs w:val="21"/>
                <w:highlight w:val="none"/>
                <w:lang w:eastAsia="zh-Hans"/>
              </w:rPr>
              <w:t>1.根据教材内容，指导教师撰写微课脚本。</w:t>
            </w:r>
          </w:p>
          <w:p w14:paraId="70624FB1">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Hans"/>
              </w:rPr>
            </w:pPr>
            <w:r>
              <w:rPr>
                <w:rFonts w:hint="eastAsia" w:ascii="宋体" w:hAnsi="宋体" w:eastAsia="宋体" w:cs="宋体"/>
                <w:b w:val="0"/>
                <w:bCs w:val="0"/>
                <w:color w:val="auto"/>
                <w:sz w:val="21"/>
                <w:szCs w:val="21"/>
                <w:highlight w:val="none"/>
                <w:lang w:eastAsia="zh-Hans"/>
              </w:rPr>
              <w:t>2.每本教材拍摄制作不少于40个微课，共计不少于80个，每个微课视频均为包含字幕的MP4格式1920×1080视频画幅宽高比。每个微课时长3-5分钟，教师真人或者数字人形象出镜。</w:t>
            </w:r>
          </w:p>
          <w:p w14:paraId="67C67F9F">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Hans"/>
              </w:rPr>
            </w:pPr>
            <w:r>
              <w:rPr>
                <w:rFonts w:hint="eastAsia" w:ascii="宋体" w:hAnsi="宋体" w:eastAsia="宋体" w:cs="宋体"/>
                <w:b w:val="0"/>
                <w:bCs w:val="0"/>
                <w:color w:val="auto"/>
                <w:sz w:val="21"/>
                <w:szCs w:val="21"/>
                <w:highlight w:val="none"/>
                <w:lang w:eastAsia="zh-Hans"/>
              </w:rPr>
              <w:t>3.使用资料、图片</w:t>
            </w:r>
            <w:r>
              <w:rPr>
                <w:rFonts w:hint="eastAsia" w:ascii="宋体" w:hAnsi="宋体" w:eastAsia="宋体" w:cs="宋体"/>
                <w:b w:val="0"/>
                <w:bCs w:val="0"/>
                <w:color w:val="auto"/>
                <w:sz w:val="21"/>
                <w:szCs w:val="21"/>
                <w:highlight w:val="none"/>
                <w:lang w:eastAsia="zh-CN"/>
              </w:rPr>
              <w:t>（且需单独提供，共计不少于150张，</w:t>
            </w:r>
            <w:r>
              <w:rPr>
                <w:rFonts w:hint="eastAsia" w:ascii="宋体" w:hAnsi="宋体" w:eastAsia="宋体" w:cs="宋体"/>
                <w:b w:val="0"/>
                <w:bCs w:val="0"/>
                <w:color w:val="auto"/>
                <w:sz w:val="21"/>
                <w:szCs w:val="21"/>
                <w:highlight w:val="none"/>
                <w:lang w:val="en-US" w:eastAsia="zh-CN"/>
              </w:rPr>
              <w:t>涉及场景人物的需要真实拍摄，要求原创，不能有产权纠纷</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eastAsia="zh-Hans"/>
              </w:rPr>
              <w:t>、外景实拍、表演等形象化教学手段，应符合教学内容要求，与讲授内容联系紧密，手段选用恰当。</w:t>
            </w:r>
          </w:p>
          <w:p w14:paraId="1B6D8BE1">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Hans"/>
              </w:rPr>
            </w:pPr>
            <w:r>
              <w:rPr>
                <w:rFonts w:hint="eastAsia" w:ascii="宋体" w:hAnsi="宋体" w:eastAsia="宋体" w:cs="宋体"/>
                <w:b w:val="0"/>
                <w:bCs w:val="0"/>
                <w:color w:val="auto"/>
                <w:sz w:val="21"/>
                <w:szCs w:val="21"/>
                <w:highlight w:val="none"/>
                <w:lang w:eastAsia="zh-Hans"/>
              </w:rPr>
              <w:t>4.选用影视作品或自拍素材时，应注明素材来源，影视作品或自拍素材中涉及人物访谈内容时，应加注人物介绍。</w:t>
            </w:r>
          </w:p>
          <w:p w14:paraId="75024346">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Hans"/>
              </w:rPr>
            </w:pPr>
            <w:r>
              <w:rPr>
                <w:rFonts w:hint="eastAsia" w:ascii="宋体" w:hAnsi="宋体" w:eastAsia="宋体" w:cs="宋体"/>
                <w:b w:val="0"/>
                <w:bCs w:val="0"/>
                <w:color w:val="auto"/>
                <w:sz w:val="21"/>
                <w:szCs w:val="21"/>
                <w:highlight w:val="none"/>
                <w:lang w:eastAsia="zh-Hans"/>
              </w:rPr>
              <w:t>5.选用的资料、图片等素材画面应清楚，对于历史资料、图片应进行再加工，选用的资料、图片等素材应注明素材来源及原始信息（如字画的作品、生卒年月，影视片段的作品名称、创作年代等信息）。</w:t>
            </w:r>
          </w:p>
          <w:p w14:paraId="07F5C64A">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Hans"/>
              </w:rPr>
            </w:pPr>
            <w:r>
              <w:rPr>
                <w:rFonts w:hint="eastAsia" w:ascii="宋体" w:hAnsi="宋体" w:eastAsia="宋体" w:cs="宋体"/>
                <w:b w:val="0"/>
                <w:bCs w:val="0"/>
                <w:color w:val="auto"/>
                <w:sz w:val="21"/>
                <w:szCs w:val="21"/>
                <w:highlight w:val="none"/>
                <w:lang w:eastAsia="zh-Hans"/>
              </w:rPr>
              <w:t>6.屏幕图像的构图合理，画面主体突出，人像及肢体动作以及配合讲授选用的板书、画板、教具实物、模型和实验设备等均不能超出镜头所及范围。</w:t>
            </w:r>
          </w:p>
          <w:p w14:paraId="1810D88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Hans"/>
              </w:rPr>
            </w:pPr>
            <w:r>
              <w:rPr>
                <w:rFonts w:hint="eastAsia" w:ascii="宋体" w:hAnsi="宋体" w:eastAsia="宋体" w:cs="宋体"/>
                <w:b w:val="0"/>
                <w:bCs w:val="0"/>
                <w:color w:val="auto"/>
                <w:sz w:val="21"/>
                <w:szCs w:val="21"/>
                <w:highlight w:val="none"/>
                <w:lang w:eastAsia="zh-Hans"/>
              </w:rPr>
              <w:t>7.微课的背景可采用彩色喷绘、电脑虚拟或现场实景等背景，背景的颜色、图案不易过多，应保持静态，画面应简洁、明快，有利于营造学习气氛。</w:t>
            </w:r>
          </w:p>
          <w:p w14:paraId="291BD961">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Hans"/>
              </w:rPr>
            </w:pPr>
            <w:r>
              <w:rPr>
                <w:rFonts w:hint="eastAsia" w:ascii="宋体" w:hAnsi="宋体" w:eastAsia="宋体" w:cs="宋体"/>
                <w:b w:val="0"/>
                <w:bCs w:val="0"/>
                <w:color w:val="auto"/>
                <w:sz w:val="21"/>
                <w:szCs w:val="21"/>
                <w:highlight w:val="none"/>
                <w:lang w:eastAsia="zh-Hans"/>
              </w:rPr>
              <w:t>8.摄像镜头应保持与主讲教师目光平视的角度，主讲教师不应较长时间仰视或俯视。</w:t>
            </w:r>
          </w:p>
          <w:p w14:paraId="5B5583BF">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Hans"/>
              </w:rPr>
            </w:pPr>
            <w:r>
              <w:rPr>
                <w:rFonts w:hint="eastAsia" w:ascii="宋体" w:hAnsi="宋体" w:eastAsia="宋体" w:cs="宋体"/>
                <w:b w:val="0"/>
                <w:bCs w:val="0"/>
                <w:color w:val="auto"/>
                <w:sz w:val="21"/>
                <w:szCs w:val="21"/>
                <w:highlight w:val="none"/>
                <w:lang w:eastAsia="zh-Hans"/>
              </w:rPr>
              <w:t>9.微课资源帧速率为25帧/秒，声音频道为2（立体声）。</w:t>
            </w:r>
          </w:p>
          <w:p w14:paraId="2C2C5D7E">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Hans"/>
              </w:rPr>
            </w:pPr>
            <w:r>
              <w:rPr>
                <w:rFonts w:hint="eastAsia" w:ascii="宋体" w:hAnsi="宋体" w:eastAsia="宋体" w:cs="宋体"/>
                <w:b w:val="0"/>
                <w:bCs w:val="0"/>
                <w:color w:val="auto"/>
                <w:sz w:val="21"/>
                <w:szCs w:val="21"/>
                <w:highlight w:val="none"/>
                <w:lang w:eastAsia="zh-Hans"/>
              </w:rPr>
              <w:t>10.视频信号源：①稳定性：全片图像同步性能稳定，无失步现象，图像无抖动跳跃，色彩无突变，编辑点处图像稳定；②色调：白平衡正确，无明显偏色，多机拍摄的镜头衔接处无明显色差。</w:t>
            </w:r>
          </w:p>
          <w:p w14:paraId="244573CE">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Hans"/>
              </w:rPr>
            </w:pPr>
            <w:r>
              <w:rPr>
                <w:rFonts w:hint="eastAsia" w:ascii="宋体" w:hAnsi="宋体" w:eastAsia="宋体" w:cs="宋体"/>
                <w:b w:val="0"/>
                <w:bCs w:val="0"/>
                <w:color w:val="auto"/>
                <w:sz w:val="21"/>
                <w:szCs w:val="21"/>
                <w:highlight w:val="none"/>
                <w:lang w:eastAsia="zh-Hans"/>
              </w:rPr>
              <w:t>11.音频信号源：①声音要求采用指向型专业级别话筒配备专业录音机，保障素材的高品质音质，保证素材伴音清晰、饱满，声音和画面同步，无交流声或其他杂音等缺陷；②伴音清晰、饱满、圆润，无失真、噪声杂音干扰、音量忽大忽小现象，解说声与现场声无明显比例失调，解说声与背景音乐无明显比例失调。</w:t>
            </w:r>
          </w:p>
          <w:p w14:paraId="5F503109">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Hans"/>
              </w:rPr>
            </w:pPr>
            <w:r>
              <w:rPr>
                <w:rFonts w:hint="eastAsia" w:ascii="宋体" w:hAnsi="宋体" w:eastAsia="宋体" w:cs="宋体"/>
                <w:b w:val="0"/>
                <w:bCs w:val="0"/>
                <w:color w:val="auto"/>
                <w:sz w:val="21"/>
                <w:szCs w:val="21"/>
                <w:highlight w:val="none"/>
                <w:lang w:eastAsia="zh-Hans"/>
              </w:rPr>
              <w:t>12.字幕要使用符合国家标准的标准字，不出现繁体字、异体字（国家规定技术要求的除外）、错别字；字幕的字体、大小、色彩搭配、摆放位置、停留时间、出入屏方式与其他要素（画面、解说词、音乐）配适宜当，不能破坏原有画面。</w:t>
            </w:r>
          </w:p>
          <w:p w14:paraId="08C8FF12">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Hans"/>
              </w:rPr>
            </w:pPr>
            <w:r>
              <w:rPr>
                <w:rFonts w:hint="eastAsia" w:ascii="宋体" w:hAnsi="宋体" w:eastAsia="宋体" w:cs="宋体"/>
                <w:b w:val="0"/>
                <w:bCs w:val="0"/>
                <w:color w:val="auto"/>
                <w:sz w:val="21"/>
                <w:szCs w:val="21"/>
                <w:highlight w:val="none"/>
                <w:lang w:eastAsia="zh-Hans"/>
              </w:rPr>
              <w:t>13.视频压缩格式及技术参数：①压缩采用H.264/AVC（MPEG-4Part10）编码、使用二次编码，包含字幕的 MP4格式；②视频码流率：动态码流的最低码率不得低于1024Kb；③视频分辨率：前期采用高清16：9拍摄，像素分辨率要≥1920×1080。</w:t>
            </w:r>
          </w:p>
          <w:p w14:paraId="43E9795D">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Hans"/>
              </w:rPr>
            </w:pPr>
            <w:r>
              <w:rPr>
                <w:rFonts w:hint="eastAsia" w:ascii="宋体" w:hAnsi="宋体" w:eastAsia="宋体" w:cs="宋体"/>
                <w:b w:val="0"/>
                <w:bCs w:val="0"/>
                <w:color w:val="auto"/>
                <w:sz w:val="21"/>
                <w:szCs w:val="21"/>
                <w:highlight w:val="none"/>
                <w:lang w:eastAsia="zh-Hans"/>
              </w:rPr>
              <w:t>14.音频压缩格式及技术参数：①音频压缩采用 AAC（MPEG4Part3）格式；②采样率48KHz③音频码流率128Kbps（恒定）。</w:t>
            </w:r>
          </w:p>
          <w:p w14:paraId="2371C189">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Hans"/>
              </w:rPr>
            </w:pPr>
            <w:r>
              <w:rPr>
                <w:rFonts w:hint="eastAsia" w:ascii="宋体" w:hAnsi="宋体" w:eastAsia="宋体" w:cs="宋体"/>
                <w:b w:val="0"/>
                <w:bCs w:val="0"/>
                <w:color w:val="auto"/>
                <w:sz w:val="21"/>
                <w:szCs w:val="21"/>
                <w:highlight w:val="none"/>
                <w:lang w:eastAsia="zh-Hans"/>
              </w:rPr>
              <w:t>15.对拍摄的视频进行后期非线性编辑工作，加入片头及片尾，根据需要加入字幕并进行部分后期录音及混音工作，对部分画面语言内容加入字幕，适当加入特效（如：重要文字信息的信息字幕条）。</w:t>
            </w:r>
          </w:p>
          <w:p w14:paraId="672DF199">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Hans"/>
              </w:rPr>
            </w:pPr>
            <w:r>
              <w:rPr>
                <w:rFonts w:hint="eastAsia" w:ascii="宋体" w:hAnsi="宋体" w:eastAsia="宋体" w:cs="宋体"/>
                <w:b w:val="0"/>
                <w:bCs w:val="0"/>
                <w:color w:val="auto"/>
                <w:sz w:val="21"/>
                <w:szCs w:val="21"/>
                <w:highlight w:val="none"/>
                <w:lang w:eastAsia="zh-Hans"/>
              </w:rPr>
              <w:t>16.课程建设内容编辑过程中产生的所有源文件、原始素材、成品的版权均归属学校所有。</w:t>
            </w:r>
          </w:p>
          <w:p w14:paraId="0A19C91F">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Hans"/>
              </w:rPr>
            </w:pPr>
            <w:r>
              <w:rPr>
                <w:rFonts w:hint="eastAsia" w:ascii="宋体" w:hAnsi="宋体" w:eastAsia="宋体" w:cs="宋体"/>
                <w:b w:val="0"/>
                <w:bCs w:val="0"/>
                <w:color w:val="auto"/>
                <w:sz w:val="21"/>
                <w:szCs w:val="21"/>
                <w:highlight w:val="none"/>
                <w:lang w:val="en-US" w:eastAsia="zh-Hans"/>
              </w:rPr>
              <w:t>17.</w:t>
            </w:r>
            <w:r>
              <w:rPr>
                <w:rFonts w:hint="eastAsia" w:ascii="宋体" w:hAnsi="宋体" w:eastAsia="宋体" w:cs="宋体"/>
                <w:b w:val="0"/>
                <w:bCs w:val="0"/>
                <w:color w:val="auto"/>
                <w:sz w:val="21"/>
                <w:szCs w:val="21"/>
                <w:highlight w:val="none"/>
                <w:lang w:eastAsia="zh-Hans"/>
              </w:rPr>
              <w:t>为保障资源制作质量，提升制作效率及与教材匹配度，服务商在微课制作全流程中需使用便捷的视频制作协同工具，方便参与教师快速进行修改、标注及意见反馈，确保课程制作精准贴合需求。</w:t>
            </w:r>
          </w:p>
          <w:p w14:paraId="21C0123F">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Hans"/>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eastAsia="zh-Hans"/>
              </w:rPr>
              <w:t>支持视频文件、图像类文件等各类创意资产的上传、存储与管理，满足微课、精品课程制作全流程创意资产处理需求。（须提供功能截图进行佐证）</w:t>
            </w:r>
          </w:p>
          <w:p w14:paraId="77143F23">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Hans"/>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eastAsia="zh-Hans"/>
              </w:rPr>
              <w:t>搭载极速传输技术，保障大体积课程视频、图像文件快速传输，无卡顿延迟。</w:t>
            </w:r>
          </w:p>
          <w:p w14:paraId="7ED2CE11">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Hans"/>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eastAsia="zh-Hans"/>
              </w:rPr>
              <w:t>采用项目团队共享空间+私人独享云端存储空间双层存储架构，兼顾课程制作团队协作与个人素材保密需求。</w:t>
            </w:r>
          </w:p>
          <w:p w14:paraId="7B43773A">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Hans"/>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eastAsia="zh-Hans"/>
              </w:rPr>
              <w:t>配备云端原生文件管理系统，支持创意资产的云端分类、检索、编辑权限配置等全生命周期管理。</w:t>
            </w:r>
          </w:p>
          <w:p w14:paraId="436FE621">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Hans"/>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eastAsia="zh-Hans"/>
              </w:rPr>
              <w:t>支持帧级精度在线标注，可对微课、精品课程视频单帧画面精准添加审阅意见，满足课程制作细节审核要求。</w:t>
            </w:r>
          </w:p>
          <w:p w14:paraId="4EA4563C">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Hans"/>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eastAsia="zh-Hans"/>
              </w:rPr>
              <w:t>具备实时协作审阅能力，团队成员、客户可同步查看课程审阅意见，实现审核信息实时互通。（须提供功能截图进行佐证）</w:t>
            </w:r>
          </w:p>
          <w:p w14:paraId="5F092E84">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Hans"/>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eastAsia="zh-Hans"/>
              </w:rPr>
              <w:t>提供一键导出修改清单功能，可将课程视频审阅意见按标准格式导出，便于后续整改落地。（须提供功能截图进行佐证）</w:t>
            </w:r>
          </w:p>
          <w:p w14:paraId="046B2BA0">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Hans"/>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eastAsia="zh-Hans"/>
              </w:rPr>
              <w:t>支持替代传统线下审片流程，通过线上化审阅优化微课、精品课程后期审核交付流程，提升整体交付效率。</w:t>
            </w:r>
          </w:p>
        </w:tc>
        <w:tc>
          <w:tcPr>
            <w:tcW w:w="753" w:type="dxa"/>
            <w:noWrap w:val="0"/>
            <w:vAlign w:val="center"/>
          </w:tcPr>
          <w:p w14:paraId="40C1292B">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color w:val="auto"/>
                <w:kern w:val="0"/>
                <w:sz w:val="21"/>
                <w:szCs w:val="21"/>
                <w:highlight w:val="none"/>
              </w:rPr>
              <w:t>80</w:t>
            </w:r>
          </w:p>
        </w:tc>
        <w:tc>
          <w:tcPr>
            <w:tcW w:w="810" w:type="dxa"/>
            <w:noWrap w:val="0"/>
            <w:vAlign w:val="center"/>
          </w:tcPr>
          <w:p w14:paraId="7AA7D86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lang w:eastAsia="zh-Hans"/>
              </w:rPr>
              <w:t>个</w:t>
            </w:r>
          </w:p>
        </w:tc>
      </w:tr>
      <w:tr w14:paraId="70768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1086692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rPr>
              <w:t>4</w:t>
            </w:r>
          </w:p>
        </w:tc>
        <w:tc>
          <w:tcPr>
            <w:tcW w:w="1070" w:type="dxa"/>
            <w:noWrap w:val="0"/>
            <w:vAlign w:val="center"/>
          </w:tcPr>
          <w:p w14:paraId="4FB3594E">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color w:val="auto"/>
                <w:kern w:val="0"/>
                <w:sz w:val="21"/>
                <w:szCs w:val="21"/>
                <w:highlight w:val="none"/>
              </w:rPr>
              <w:t>二维动画</w:t>
            </w:r>
          </w:p>
        </w:tc>
        <w:tc>
          <w:tcPr>
            <w:tcW w:w="6927" w:type="dxa"/>
            <w:noWrap w:val="0"/>
            <w:vAlign w:val="top"/>
          </w:tcPr>
          <w:p w14:paraId="51474B00">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1.利用动画技术来展示和解释概念、原理、流程等知识，选取教学任务中难理解、难观摩、难再现的内容制作而成。</w:t>
            </w:r>
          </w:p>
          <w:p w14:paraId="02C149D2">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2.每本教材设计与制作原创动画，每本教材不少于5个，每个动画时长根据课程内容确定，动画总时长10分钟，满足课程教学的需要。</w:t>
            </w:r>
          </w:p>
          <w:p w14:paraId="7CC6F732">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3.动画的开始要有醒目的、意义明确的标题，标题要能够体现动画所表现的内容，且具有一定的趣味性。</w:t>
            </w:r>
          </w:p>
          <w:p w14:paraId="483B7955">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4.动画中如果有文字，文字要醒目，文字的字体、字号与内容协调，字体颜色避免与背景色相近。</w:t>
            </w:r>
          </w:p>
          <w:p w14:paraId="588ADFD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5.动画色彩造型应和谐，画面简洁清晰，界面友好；动画连续，节奏合适，帧和帧之间的关联性要强。</w:t>
            </w:r>
          </w:p>
          <w:p w14:paraId="01269650">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6.聘请专业配音人员对动画进行配音、解说，配音要求普通话、英语标准，咬字清楚，声音悦耳，音量适当，快慢适度。</w:t>
            </w:r>
          </w:p>
          <w:p w14:paraId="5D814EAB">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7.动画如果有背景音乐，背景音乐音量不宜过大，音乐与内容相符。</w:t>
            </w:r>
          </w:p>
          <w:p w14:paraId="6B91E765">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8.动画呈现的画面要简洁、清晰、流畅，静止画面时间不超过5秒钟。</w:t>
            </w:r>
          </w:p>
          <w:p w14:paraId="0964CEBC">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9.动画资源帧速率为25 帧/秒，声音频道为2（立体声）。</w:t>
            </w:r>
          </w:p>
          <w:p w14:paraId="6DDD2D8F">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10.必要时动画运用数字技术与 AI技术，呈现出形象生动、人物逼真的视觉效果。最终呈现为二维动画。</w:t>
            </w:r>
          </w:p>
          <w:p w14:paraId="388C7DD6">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11.存储格式：采用mp4存储格式。</w:t>
            </w:r>
          </w:p>
          <w:p w14:paraId="37C82342">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color w:val="auto"/>
                <w:kern w:val="0"/>
                <w:sz w:val="21"/>
                <w:szCs w:val="21"/>
                <w:highlight w:val="none"/>
              </w:rPr>
              <w:t>12.课程建设内容编辑过程中产生的所有源文件、原始素材、成品的版权均归属学校所有。</w:t>
            </w:r>
          </w:p>
        </w:tc>
        <w:tc>
          <w:tcPr>
            <w:tcW w:w="753" w:type="dxa"/>
            <w:noWrap w:val="0"/>
            <w:vAlign w:val="center"/>
          </w:tcPr>
          <w:p w14:paraId="29361898">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color w:val="auto"/>
                <w:kern w:val="0"/>
                <w:sz w:val="21"/>
                <w:szCs w:val="21"/>
                <w:highlight w:val="none"/>
              </w:rPr>
              <w:t>10</w:t>
            </w:r>
          </w:p>
        </w:tc>
        <w:tc>
          <w:tcPr>
            <w:tcW w:w="810" w:type="dxa"/>
            <w:noWrap w:val="0"/>
            <w:vAlign w:val="center"/>
          </w:tcPr>
          <w:p w14:paraId="7E3A892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lang w:eastAsia="zh-Hans"/>
              </w:rPr>
              <w:t>分钟</w:t>
            </w:r>
          </w:p>
        </w:tc>
      </w:tr>
      <w:tr w14:paraId="5704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19756DD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rPr>
              <w:t>5</w:t>
            </w:r>
          </w:p>
        </w:tc>
        <w:tc>
          <w:tcPr>
            <w:tcW w:w="1070" w:type="dxa"/>
            <w:noWrap w:val="0"/>
            <w:vAlign w:val="center"/>
          </w:tcPr>
          <w:p w14:paraId="0C74F7D0">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color w:val="auto"/>
                <w:kern w:val="0"/>
                <w:sz w:val="21"/>
                <w:szCs w:val="21"/>
                <w:highlight w:val="none"/>
              </w:rPr>
              <w:t>教学交互程序开发（教学游戏）</w:t>
            </w:r>
          </w:p>
        </w:tc>
        <w:tc>
          <w:tcPr>
            <w:tcW w:w="6927" w:type="dxa"/>
            <w:noWrap w:val="0"/>
            <w:vAlign w:val="top"/>
          </w:tcPr>
          <w:p w14:paraId="0796DA71">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1.交互程序设计应符合教师要求，符合知识点教学与学习要求，应具备专业知识准确性与游戏趣味性。</w:t>
            </w:r>
          </w:p>
          <w:p w14:paraId="020EB4EF">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2.具有较强的教学性。</w:t>
            </w:r>
          </w:p>
          <w:p w14:paraId="32E35582">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3.程序画面分辨率≥1080P，不能出现卡顿、错位等明显漏洞。</w:t>
            </w:r>
          </w:p>
          <w:p w14:paraId="30F9188E">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color w:val="auto"/>
                <w:kern w:val="0"/>
                <w:sz w:val="21"/>
                <w:szCs w:val="21"/>
                <w:highlight w:val="none"/>
              </w:rPr>
              <w:t>4.支持主流数字教材平台应用，推荐使用HTML5格式。</w:t>
            </w:r>
          </w:p>
        </w:tc>
        <w:tc>
          <w:tcPr>
            <w:tcW w:w="753" w:type="dxa"/>
            <w:noWrap w:val="0"/>
            <w:vAlign w:val="center"/>
          </w:tcPr>
          <w:p w14:paraId="06D60C99">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color w:val="auto"/>
                <w:kern w:val="0"/>
                <w:sz w:val="21"/>
                <w:szCs w:val="21"/>
                <w:highlight w:val="none"/>
              </w:rPr>
              <w:t>12</w:t>
            </w:r>
          </w:p>
        </w:tc>
        <w:tc>
          <w:tcPr>
            <w:tcW w:w="810" w:type="dxa"/>
            <w:noWrap w:val="0"/>
            <w:vAlign w:val="center"/>
          </w:tcPr>
          <w:p w14:paraId="0F40621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lang w:eastAsia="zh-Hans"/>
              </w:rPr>
              <w:t>个</w:t>
            </w:r>
          </w:p>
        </w:tc>
      </w:tr>
      <w:tr w14:paraId="215D4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69C7AF1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rPr>
              <w:t>6</w:t>
            </w:r>
          </w:p>
        </w:tc>
        <w:tc>
          <w:tcPr>
            <w:tcW w:w="1070" w:type="dxa"/>
            <w:noWrap w:val="0"/>
            <w:vAlign w:val="center"/>
          </w:tcPr>
          <w:p w14:paraId="1C93198E">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color w:val="auto"/>
                <w:kern w:val="0"/>
                <w:sz w:val="21"/>
                <w:szCs w:val="21"/>
                <w:highlight w:val="none"/>
              </w:rPr>
              <w:t>教学课件</w:t>
            </w:r>
          </w:p>
        </w:tc>
        <w:tc>
          <w:tcPr>
            <w:tcW w:w="6927" w:type="dxa"/>
            <w:noWrap w:val="0"/>
            <w:vAlign w:val="center"/>
          </w:tcPr>
          <w:p w14:paraId="3A2E25EB">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1.根据教材内容制作，每本教材制作1套课件，每套课件的页数根据采购人的教材的项目/任务容量确定。</w:t>
            </w:r>
          </w:p>
          <w:p w14:paraId="7DD3DD7D">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2.制作优化课程PPT，要求集文字、图形、图像、声音以及视频等多种媒体元素于一体，一般不使用纯文字的演示文稿（PPT）。页面设置要求符合高清格式比例，幻灯片大小为“全屏 显示 16：9”。整体效果应风格统一、色彩协调、美观大方。字体与字号以美观得体为宜。</w:t>
            </w:r>
          </w:p>
          <w:p w14:paraId="0013E37C">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3.背景色以简洁适中饱和度为主（颜色保持在一至两种色系内）；色彩的选配应与课程科目相吻合；可选一种主色调再加上一至两种辅助色进行匹配；同一屏里文字不宜超出三种颜色。背景和场景不宜变化过多。</w:t>
            </w:r>
          </w:p>
          <w:p w14:paraId="60589A9E">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4.文字、图形等内容应与背景对比醒目。正文—行距使用 1 行或1.5 行，便于阅读。图像应清晰并能反映出内容的主题思想；图片不可加长或压窄，防止变形；图形使用应通俗易懂，便于理解。</w:t>
            </w:r>
          </w:p>
          <w:p w14:paraId="1F740793">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5.PPT模板制作，包含：标题页、目录页、过渡页、文字页、图表页、图片页、结尾页。</w:t>
            </w:r>
          </w:p>
          <w:p w14:paraId="56077E33">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6.采用PPT或PPTX格式，不要使用PPS格式。如果有内嵌音频、视频或动画，则应在相应目录单独提供一份未嵌入的文件。同时提供关于最佳播放效果的软件版本说明。</w:t>
            </w:r>
          </w:p>
          <w:p w14:paraId="6EAE53FA">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7.页面设计美观大方，各级标题采用不同的字体和颜色，一张幻灯片上文字颜色限定在4种以内，注意文字与背景色的反差。</w:t>
            </w:r>
          </w:p>
          <w:p w14:paraId="639F6F49">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8.如有动画操作需保证，动画连续，节奏合适。</w:t>
            </w:r>
          </w:p>
          <w:p w14:paraId="7AFF7AD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color w:val="auto"/>
                <w:kern w:val="0"/>
                <w:sz w:val="21"/>
                <w:szCs w:val="21"/>
                <w:highlight w:val="none"/>
              </w:rPr>
              <w:t>9.PPT课件字体应具有正版字体授权，不得使用未经授权的盗版字体。</w:t>
            </w:r>
          </w:p>
        </w:tc>
        <w:tc>
          <w:tcPr>
            <w:tcW w:w="753" w:type="dxa"/>
            <w:noWrap w:val="0"/>
            <w:vAlign w:val="center"/>
          </w:tcPr>
          <w:p w14:paraId="649596BF">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color w:val="auto"/>
                <w:kern w:val="0"/>
                <w:sz w:val="21"/>
                <w:szCs w:val="21"/>
                <w:highlight w:val="none"/>
              </w:rPr>
              <w:t>2</w:t>
            </w:r>
          </w:p>
        </w:tc>
        <w:tc>
          <w:tcPr>
            <w:tcW w:w="810" w:type="dxa"/>
            <w:noWrap w:val="0"/>
            <w:vAlign w:val="center"/>
          </w:tcPr>
          <w:p w14:paraId="08C11D4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lang w:eastAsia="zh-Hans"/>
              </w:rPr>
              <w:t>套</w:t>
            </w:r>
          </w:p>
        </w:tc>
      </w:tr>
      <w:tr w14:paraId="1E3E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7ADAA98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rPr>
              <w:t>7</w:t>
            </w:r>
          </w:p>
        </w:tc>
        <w:tc>
          <w:tcPr>
            <w:tcW w:w="1070" w:type="dxa"/>
            <w:noWrap w:val="0"/>
            <w:vAlign w:val="center"/>
          </w:tcPr>
          <w:p w14:paraId="429C2941">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color w:val="auto"/>
                <w:kern w:val="0"/>
                <w:sz w:val="21"/>
                <w:szCs w:val="21"/>
                <w:highlight w:val="none"/>
              </w:rPr>
              <w:t>教材编写能力提升</w:t>
            </w:r>
          </w:p>
        </w:tc>
        <w:tc>
          <w:tcPr>
            <w:tcW w:w="6927" w:type="dxa"/>
            <w:noWrap w:val="0"/>
            <w:vAlign w:val="top"/>
          </w:tcPr>
          <w:p w14:paraId="65404649">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1.引入国内职业教育教材研究专家、专业领域领军人才（至少包含1名国家规划教材主编，1名省级以上职业教育专家），开展教材建设的整体设计与规划。</w:t>
            </w:r>
          </w:p>
          <w:p w14:paraId="70C963CD">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2.指导制定教材编写规范与质量标准，明确教材编写体例、内容深度、思政融入要求、配套资源开发标准等技术规范，为后续编写工作提供统一遵循。</w:t>
            </w:r>
          </w:p>
          <w:p w14:paraId="6209D3B1">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color w:val="auto"/>
                <w:kern w:val="0"/>
                <w:sz w:val="21"/>
                <w:szCs w:val="21"/>
                <w:highlight w:val="none"/>
              </w:rPr>
              <w:t>3.组织不少于2次教材规划设计研讨会，与学校参编教师团队共同完成教材的体例样章。</w:t>
            </w:r>
          </w:p>
        </w:tc>
        <w:tc>
          <w:tcPr>
            <w:tcW w:w="753" w:type="dxa"/>
            <w:noWrap w:val="0"/>
            <w:vAlign w:val="center"/>
          </w:tcPr>
          <w:p w14:paraId="6140B717">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color w:val="auto"/>
                <w:kern w:val="0"/>
                <w:sz w:val="21"/>
                <w:szCs w:val="21"/>
                <w:highlight w:val="none"/>
              </w:rPr>
              <w:t>1</w:t>
            </w:r>
          </w:p>
        </w:tc>
        <w:tc>
          <w:tcPr>
            <w:tcW w:w="810" w:type="dxa"/>
            <w:noWrap w:val="0"/>
            <w:vAlign w:val="center"/>
          </w:tcPr>
          <w:p w14:paraId="6D80A9B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lang w:eastAsia="zh-Hans"/>
              </w:rPr>
              <w:t>项</w:t>
            </w:r>
          </w:p>
        </w:tc>
      </w:tr>
      <w:tr w14:paraId="04B6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6F3DD2B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rPr>
              <w:t>8</w:t>
            </w:r>
          </w:p>
        </w:tc>
        <w:tc>
          <w:tcPr>
            <w:tcW w:w="1070" w:type="dxa"/>
            <w:noWrap w:val="0"/>
            <w:vAlign w:val="center"/>
          </w:tcPr>
          <w:p w14:paraId="446D340F">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color w:val="auto"/>
                <w:kern w:val="0"/>
                <w:sz w:val="21"/>
                <w:szCs w:val="21"/>
                <w:highlight w:val="none"/>
              </w:rPr>
              <w:t>教材成果培育</w:t>
            </w:r>
          </w:p>
        </w:tc>
        <w:tc>
          <w:tcPr>
            <w:tcW w:w="6927" w:type="dxa"/>
            <w:noWrap w:val="0"/>
            <w:vAlign w:val="top"/>
          </w:tcPr>
          <w:p w14:paraId="6FE5A0EE">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教材编写指导。安排具有高级职称且主持过省级以上精品课程或规划教材建设的专家对教材的编写过程进行分阶段、分层次的跟踪指导，确保每本教材内容科学、结构合理、符合职业教育规律。不少于2轮专家审阅，每轮审阅需出具书面专家意见，并在收到稿件后10个工作日内反馈。</w:t>
            </w:r>
          </w:p>
          <w:p w14:paraId="490604EB">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2.资源开发指导。指导每本教材配套开发微课、动画、仿真、测验等数字资源，确保资源与教材内容深度融合，符合“可听、可视、可练习、可互动”的数字教材建设目标。</w:t>
            </w:r>
          </w:p>
          <w:p w14:paraId="67032CAC">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教材应用指导。指导教材编写团队开展教材应用试点，收集使用反馈并持续优化，确保教材真正落地课堂。组织开展不少于1次教材应用专题培训，面向使用教材的教师团队系统讲解教材的设计理念、教学组织方法、配套资源使用策略及线上线下混合式教学实施路径。</w:t>
            </w:r>
          </w:p>
          <w:p w14:paraId="0CE2D268">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color w:val="auto"/>
                <w:kern w:val="0"/>
                <w:sz w:val="21"/>
                <w:szCs w:val="21"/>
                <w:highlight w:val="none"/>
              </w:rPr>
              <w:t>4.针对国家级、省级规划教材、精品教材、教学成果奖等申报要求，提供政策解读、申报策略指导。在申报材料撰写阶段，组织专家对申报书、佐证材料等进行审核打磨。</w:t>
            </w:r>
          </w:p>
        </w:tc>
        <w:tc>
          <w:tcPr>
            <w:tcW w:w="753" w:type="dxa"/>
            <w:noWrap w:val="0"/>
            <w:vAlign w:val="center"/>
          </w:tcPr>
          <w:p w14:paraId="58A0E44B">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color w:val="auto"/>
                <w:kern w:val="0"/>
                <w:sz w:val="21"/>
                <w:szCs w:val="21"/>
                <w:highlight w:val="none"/>
              </w:rPr>
              <w:t>1</w:t>
            </w:r>
          </w:p>
        </w:tc>
        <w:tc>
          <w:tcPr>
            <w:tcW w:w="810" w:type="dxa"/>
            <w:noWrap w:val="0"/>
            <w:vAlign w:val="center"/>
          </w:tcPr>
          <w:p w14:paraId="1641132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lang w:eastAsia="zh-Hans"/>
              </w:rPr>
              <w:t>项</w:t>
            </w:r>
          </w:p>
        </w:tc>
      </w:tr>
    </w:tbl>
    <w:p w14:paraId="0A5A582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KSOF1D5EAB94">
    <w:panose1 w:val="020B0802040204020203"/>
    <w:charset w:val="00"/>
    <w:family w:val="auto"/>
    <w:pitch w:val="default"/>
    <w:sig w:usb0="00000001"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A00002EF" w:usb1="4000004B" w:usb2="00000000" w:usb3="00000000" w:csb0="2000009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EE15DA"/>
    <w:rsid w:val="4CEE15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paragraph" w:styleId="2">
    <w:name w:val="heading 3"/>
    <w:basedOn w:val="1"/>
    <w:next w:val="1"/>
    <w:qFormat/>
    <w:uiPriority w:val="0"/>
    <w:pPr>
      <w:keepNext/>
      <w:keepLines/>
      <w:outlineLvl w:val="2"/>
    </w:pPr>
    <w:rPr>
      <w:rFonts w:eastAsia="仿宋"/>
      <w:b/>
      <w:bCs/>
      <w:sz w:val="30"/>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Title"/>
    <w:basedOn w:val="1"/>
    <w:next w:val="1"/>
    <w:qFormat/>
    <w:uiPriority w:val="0"/>
    <w:pPr>
      <w:widowControl/>
      <w:jc w:val="center"/>
      <w:outlineLvl w:val="0"/>
    </w:pPr>
    <w:rPr>
      <w:rFonts w:ascii="Cambria" w:hAnsi="Cambria" w:eastAsia="微软雅黑"/>
      <w:b/>
      <w:bCs/>
      <w:kern w:val="28"/>
      <w:sz w:val="44"/>
      <w:lang w:eastAsia="en-US" w:bidi="en-US"/>
    </w:rPr>
  </w:style>
  <w:style w:type="paragraph" w:customStyle="1" w:styleId="6">
    <w:name w:val="*正文"/>
    <w:basedOn w:val="1"/>
    <w:qFormat/>
    <w:uiPriority w:val="0"/>
    <w:pPr>
      <w:widowControl/>
      <w:ind w:firstLine="482"/>
    </w:pPr>
    <w:rPr>
      <w:rFonts w:ascii="微软雅黑" w:hAnsi="微软雅黑" w:eastAsia="微软雅黑"/>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2026-08-12T06:52:00Z</dcterms:created>
  <dc:creator>FF</dc:creator>
  <cp:lastModifiedBy>FF</cp:lastModifiedBy>
  <dcterms:modified xsi:type="dcterms:W3CDTF">2026-08-12T06:52:57Z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FC67C3D2FD3F4662AFFBF322CA230F87_11</vt:lpwstr>
  </property>
  <property fmtid="{D5CDD505-2E9C-101B-9397-08002B2CF9AE}" pid="4" name="KSOTemplateDocerSaveRecord">
    <vt:lpwstr>eyJoZGlkIjoiMWZiYzQ2ZDY4NWM4M2FjYTIyZGE3OTEwZTUzYzgxN2IiLCJ1c2VySWQiOiI0Mzg1MzY0MTcifQ==</vt:lpwstr>
  </property>
</Properties>
</file>