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84E2F0">
      <w:pPr>
        <w:widowControl/>
        <w:jc w:val="center"/>
        <w:outlineLvl w:val="0"/>
        <w:rPr>
          <w:rFonts w:hint="eastAsia" w:ascii="宋体" w:hAnsi="宋体" w:eastAsia="宋体" w:cs="Times New Roman"/>
          <w:b/>
          <w:bCs/>
          <w:color w:val="auto"/>
          <w:kern w:val="28"/>
          <w:sz w:val="44"/>
          <w:highlight w:val="none"/>
          <w:lang w:val="en-US" w:eastAsia="zh-CN" w:bidi="en-US"/>
        </w:rPr>
      </w:pPr>
      <w:bookmarkStart w:id="0" w:name="_Toc18329"/>
      <w:r>
        <w:rPr>
          <w:rFonts w:hint="eastAsia" w:ascii="宋体" w:hAnsi="宋体" w:eastAsia="宋体" w:cs="Times New Roman"/>
          <w:b/>
          <w:bCs/>
          <w:color w:val="auto"/>
          <w:kern w:val="28"/>
          <w:sz w:val="44"/>
          <w:highlight w:val="none"/>
          <w:lang w:val="en-US" w:eastAsia="zh-CN" w:bidi="en-US"/>
        </w:rPr>
        <w:t xml:space="preserve">第三章  </w:t>
      </w:r>
      <w:bookmarkStart w:id="8" w:name="_GoBack"/>
      <w:r>
        <w:rPr>
          <w:rFonts w:hint="eastAsia" w:ascii="宋体" w:hAnsi="宋体" w:eastAsia="宋体" w:cs="Times New Roman"/>
          <w:b/>
          <w:bCs/>
          <w:color w:val="auto"/>
          <w:kern w:val="28"/>
          <w:sz w:val="44"/>
          <w:highlight w:val="none"/>
          <w:lang w:val="en-US" w:eastAsia="zh-CN" w:bidi="en-US"/>
        </w:rPr>
        <w:t>采购需求</w:t>
      </w:r>
      <w:bookmarkEnd w:id="0"/>
      <w:bookmarkEnd w:id="8"/>
    </w:p>
    <w:p w14:paraId="0370FA2C">
      <w:pPr>
        <w:keepNext/>
        <w:keepLines/>
        <w:widowControl w:val="0"/>
        <w:spacing w:line="400" w:lineRule="exact"/>
        <w:jc w:val="both"/>
        <w:outlineLvl w:val="2"/>
        <w:rPr>
          <w:rFonts w:hint="eastAsia" w:ascii="宋体" w:hAnsi="宋体" w:eastAsia="宋体" w:cs="Times New Roman"/>
          <w:b/>
          <w:bCs/>
          <w:color w:val="auto"/>
          <w:sz w:val="21"/>
          <w:szCs w:val="21"/>
          <w:highlight w:val="none"/>
          <w:lang w:val="en-US" w:eastAsia="zh-CN" w:bidi="ar-SA"/>
        </w:rPr>
      </w:pPr>
      <w:bookmarkStart w:id="1" w:name="_Toc106903034"/>
      <w:bookmarkStart w:id="2" w:name="_Toc26534"/>
      <w:bookmarkStart w:id="3" w:name="_Toc1721463"/>
      <w:r>
        <w:rPr>
          <w:rFonts w:hint="eastAsia" w:ascii="宋体" w:hAnsi="宋体" w:eastAsia="宋体" w:cs="Times New Roman"/>
          <w:b/>
          <w:bCs/>
          <w:color w:val="auto"/>
          <w:sz w:val="21"/>
          <w:szCs w:val="21"/>
          <w:highlight w:val="none"/>
          <w:lang w:val="en-US" w:eastAsia="zh-CN" w:bidi="ar-SA"/>
        </w:rPr>
        <w:t>一、</w:t>
      </w:r>
      <w:bookmarkEnd w:id="1"/>
      <w:bookmarkEnd w:id="2"/>
      <w:bookmarkEnd w:id="3"/>
      <w:r>
        <w:rPr>
          <w:rFonts w:hint="eastAsia" w:ascii="宋体" w:hAnsi="宋体" w:eastAsia="宋体" w:cs="Times New Roman"/>
          <w:b/>
          <w:bCs/>
          <w:color w:val="auto"/>
          <w:sz w:val="21"/>
          <w:szCs w:val="21"/>
          <w:highlight w:val="none"/>
          <w:lang w:val="en-US" w:eastAsia="zh-CN" w:bidi="ar-SA"/>
        </w:rPr>
        <w:t>项目概况</w:t>
      </w:r>
    </w:p>
    <w:p w14:paraId="27E87CC9">
      <w:pPr>
        <w:widowControl/>
        <w:spacing w:line="400" w:lineRule="exact"/>
        <w:ind w:firstLine="482"/>
        <w:jc w:val="both"/>
        <w:rPr>
          <w:rFonts w:hint="eastAsia" w:ascii="宋体" w:hAnsi="宋体" w:eastAsia="宋体" w:cs="Times New Roman"/>
          <w:color w:val="auto"/>
          <w:spacing w:val="14"/>
          <w:sz w:val="21"/>
          <w:szCs w:val="21"/>
          <w:highlight w:val="none"/>
          <w:lang w:val="en-US" w:eastAsia="zh-CN" w:bidi="ar-SA"/>
        </w:rPr>
      </w:pPr>
      <w:r>
        <w:rPr>
          <w:rFonts w:hint="eastAsia" w:ascii="宋体" w:hAnsi="宋体" w:eastAsia="宋体" w:cs="Times New Roman"/>
          <w:color w:val="auto"/>
          <w:spacing w:val="14"/>
          <w:sz w:val="21"/>
          <w:szCs w:val="21"/>
          <w:highlight w:val="none"/>
          <w:lang w:val="en-US" w:eastAsia="zh-CN" w:bidi="ar-SA"/>
        </w:rPr>
        <w:t>本次采购项目为</w:t>
      </w:r>
      <w:r>
        <w:rPr>
          <w:rFonts w:hint="eastAsia" w:ascii="宋体" w:hAnsi="宋体" w:eastAsia="宋体" w:cs="Times New Roman"/>
          <w:color w:val="auto"/>
          <w:spacing w:val="14"/>
          <w:sz w:val="21"/>
          <w:szCs w:val="21"/>
          <w:highlight w:val="none"/>
          <w:u w:val="single"/>
          <w:lang w:val="en-US" w:eastAsia="zh-CN" w:bidi="ar-SA"/>
        </w:rPr>
        <w:t>河南经贸职业学院人工智能+智慧物业产教融合实训中心项目包1</w:t>
      </w:r>
      <w:r>
        <w:rPr>
          <w:rFonts w:hint="eastAsia" w:ascii="宋体" w:hAnsi="宋体" w:eastAsia="宋体" w:cs="Times New Roman"/>
          <w:color w:val="auto"/>
          <w:spacing w:val="14"/>
          <w:sz w:val="21"/>
          <w:szCs w:val="21"/>
          <w:highlight w:val="none"/>
          <w:lang w:val="en-US" w:eastAsia="zh-CN" w:bidi="ar-SA"/>
        </w:rPr>
        <w:t>，共2个包。</w:t>
      </w:r>
    </w:p>
    <w:p w14:paraId="1DE5CDEA">
      <w:pPr>
        <w:keepNext/>
        <w:keepLines/>
        <w:widowControl w:val="0"/>
        <w:spacing w:line="400" w:lineRule="exact"/>
        <w:jc w:val="both"/>
        <w:outlineLvl w:val="2"/>
        <w:rPr>
          <w:rFonts w:hint="eastAsia" w:ascii="宋体" w:hAnsi="宋体" w:eastAsia="宋体" w:cs="宋体"/>
          <w:b/>
          <w:bCs/>
          <w:color w:val="auto"/>
          <w:kern w:val="2"/>
          <w:sz w:val="21"/>
          <w:szCs w:val="21"/>
          <w:highlight w:val="none"/>
          <w:lang w:val="en-US" w:eastAsia="zh-CN" w:bidi="ar-SA"/>
        </w:rPr>
      </w:pPr>
      <w:bookmarkStart w:id="4" w:name="_Toc26447"/>
      <w:bookmarkStart w:id="5" w:name="_Toc1721464"/>
      <w:bookmarkStart w:id="6" w:name="_Toc106903035"/>
      <w:bookmarkStart w:id="7" w:name="_Toc238530903"/>
      <w:r>
        <w:rPr>
          <w:rFonts w:hint="eastAsia" w:ascii="宋体" w:hAnsi="宋体" w:eastAsia="宋体" w:cs="Times New Roman"/>
          <w:b/>
          <w:bCs/>
          <w:color w:val="auto"/>
          <w:sz w:val="21"/>
          <w:szCs w:val="21"/>
          <w:highlight w:val="none"/>
          <w:lang w:val="en-US" w:eastAsia="zh-CN" w:bidi="ar-SA"/>
        </w:rPr>
        <w:t>二、</w:t>
      </w:r>
      <w:bookmarkEnd w:id="4"/>
      <w:bookmarkEnd w:id="5"/>
      <w:bookmarkEnd w:id="6"/>
      <w:r>
        <w:rPr>
          <w:rFonts w:hint="eastAsia" w:ascii="宋体" w:hAnsi="宋体" w:eastAsia="宋体" w:cs="Times New Roman"/>
          <w:b/>
          <w:bCs/>
          <w:color w:val="auto"/>
          <w:sz w:val="21"/>
          <w:szCs w:val="21"/>
          <w:highlight w:val="none"/>
          <w:lang w:val="en-US" w:eastAsia="zh-CN" w:bidi="ar-SA"/>
        </w:rPr>
        <w:t>招标清单及技术参数/服务要求</w:t>
      </w:r>
    </w:p>
    <w:bookmarkEnd w:id="7"/>
    <w:tbl>
      <w:tblPr>
        <w:tblStyle w:val="9"/>
        <w:tblpPr w:leftFromText="181" w:rightFromText="181" w:vertAnchor="text" w:horzAnchor="page" w:tblpXSpec="center" w:tblpY="543"/>
        <w:tblOverlap w:val="never"/>
        <w:tblW w:w="111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070"/>
        <w:gridCol w:w="6927"/>
        <w:gridCol w:w="696"/>
        <w:gridCol w:w="690"/>
        <w:gridCol w:w="1065"/>
      </w:tblGrid>
      <w:tr w14:paraId="46504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609093D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color w:val="auto"/>
                <w:kern w:val="2"/>
                <w:sz w:val="21"/>
                <w:szCs w:val="21"/>
                <w:highlight w:val="none"/>
                <w:lang w:eastAsia="zh-Hans"/>
              </w:rPr>
            </w:pPr>
            <w:r>
              <w:rPr>
                <w:rFonts w:hint="eastAsia" w:ascii="宋体" w:hAnsi="宋体" w:eastAsia="宋体" w:cs="宋体"/>
                <w:b/>
                <w:bCs/>
                <w:color w:val="auto"/>
                <w:kern w:val="2"/>
                <w:sz w:val="21"/>
                <w:szCs w:val="21"/>
                <w:highlight w:val="none"/>
                <w:lang w:eastAsia="zh-Hans"/>
              </w:rPr>
              <w:t>序号</w:t>
            </w:r>
          </w:p>
        </w:tc>
        <w:tc>
          <w:tcPr>
            <w:tcW w:w="1070" w:type="dxa"/>
            <w:noWrap w:val="0"/>
            <w:vAlign w:val="center"/>
          </w:tcPr>
          <w:p w14:paraId="657C82F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color w:val="auto"/>
                <w:kern w:val="2"/>
                <w:sz w:val="21"/>
                <w:szCs w:val="21"/>
                <w:highlight w:val="none"/>
                <w:lang w:eastAsia="zh-Hans"/>
              </w:rPr>
            </w:pPr>
            <w:r>
              <w:rPr>
                <w:rFonts w:hint="eastAsia" w:ascii="宋体" w:hAnsi="宋体" w:eastAsia="宋体" w:cs="宋体"/>
                <w:b/>
                <w:bCs/>
                <w:color w:val="auto"/>
                <w:kern w:val="2"/>
                <w:sz w:val="21"/>
                <w:szCs w:val="21"/>
                <w:highlight w:val="none"/>
                <w:lang w:eastAsia="zh-Hans"/>
              </w:rPr>
              <w:t>名称</w:t>
            </w:r>
          </w:p>
        </w:tc>
        <w:tc>
          <w:tcPr>
            <w:tcW w:w="6927" w:type="dxa"/>
            <w:noWrap w:val="0"/>
            <w:vAlign w:val="center"/>
          </w:tcPr>
          <w:p w14:paraId="005F7AF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color w:val="auto"/>
                <w:kern w:val="2"/>
                <w:sz w:val="21"/>
                <w:szCs w:val="21"/>
                <w:highlight w:val="none"/>
                <w:lang w:eastAsia="zh-Hans"/>
              </w:rPr>
            </w:pPr>
            <w:r>
              <w:rPr>
                <w:rFonts w:hint="eastAsia" w:ascii="宋体" w:hAnsi="宋体" w:eastAsia="宋体" w:cs="宋体"/>
                <w:b/>
                <w:bCs/>
                <w:color w:val="auto"/>
                <w:kern w:val="2"/>
                <w:sz w:val="21"/>
                <w:szCs w:val="21"/>
                <w:highlight w:val="none"/>
                <w:lang w:eastAsia="zh-Hans"/>
              </w:rPr>
              <w:t>技术参数</w:t>
            </w:r>
          </w:p>
        </w:tc>
        <w:tc>
          <w:tcPr>
            <w:tcW w:w="696" w:type="dxa"/>
            <w:noWrap w:val="0"/>
            <w:vAlign w:val="center"/>
          </w:tcPr>
          <w:p w14:paraId="4C507F5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color w:val="auto"/>
                <w:kern w:val="2"/>
                <w:sz w:val="21"/>
                <w:szCs w:val="21"/>
                <w:highlight w:val="none"/>
                <w:lang w:eastAsia="zh-Hans"/>
              </w:rPr>
            </w:pPr>
            <w:r>
              <w:rPr>
                <w:rFonts w:hint="eastAsia" w:ascii="宋体" w:hAnsi="宋体" w:eastAsia="宋体" w:cs="宋体"/>
                <w:b/>
                <w:bCs/>
                <w:color w:val="auto"/>
                <w:kern w:val="2"/>
                <w:sz w:val="21"/>
                <w:szCs w:val="21"/>
                <w:highlight w:val="none"/>
                <w:lang w:eastAsia="zh-Hans"/>
              </w:rPr>
              <w:t>数量</w:t>
            </w:r>
          </w:p>
        </w:tc>
        <w:tc>
          <w:tcPr>
            <w:tcW w:w="690" w:type="dxa"/>
            <w:noWrap w:val="0"/>
            <w:vAlign w:val="center"/>
          </w:tcPr>
          <w:p w14:paraId="7C69EC9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color w:val="auto"/>
                <w:kern w:val="2"/>
                <w:sz w:val="21"/>
                <w:szCs w:val="21"/>
                <w:highlight w:val="none"/>
                <w:lang w:eastAsia="zh-Hans"/>
              </w:rPr>
            </w:pPr>
            <w:r>
              <w:rPr>
                <w:rFonts w:hint="eastAsia" w:ascii="宋体" w:hAnsi="宋体" w:eastAsia="宋体" w:cs="宋体"/>
                <w:b/>
                <w:bCs/>
                <w:color w:val="auto"/>
                <w:kern w:val="2"/>
                <w:sz w:val="21"/>
                <w:szCs w:val="21"/>
                <w:highlight w:val="none"/>
                <w:lang w:eastAsia="zh-Hans"/>
              </w:rPr>
              <w:t>单位</w:t>
            </w:r>
          </w:p>
        </w:tc>
        <w:tc>
          <w:tcPr>
            <w:tcW w:w="1065" w:type="dxa"/>
            <w:noWrap w:val="0"/>
            <w:vAlign w:val="center"/>
          </w:tcPr>
          <w:p w14:paraId="5FBF6C3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color w:val="auto"/>
                <w:kern w:val="2"/>
                <w:sz w:val="21"/>
                <w:szCs w:val="21"/>
                <w:highlight w:val="none"/>
                <w:lang w:eastAsia="zh-Hans"/>
              </w:rPr>
            </w:pPr>
            <w:r>
              <w:rPr>
                <w:rFonts w:hint="eastAsia" w:ascii="宋体" w:hAnsi="宋体" w:eastAsia="宋体" w:cs="宋体"/>
                <w:b/>
                <w:bCs/>
                <w:color w:val="auto"/>
                <w:kern w:val="2"/>
                <w:sz w:val="21"/>
                <w:szCs w:val="21"/>
                <w:highlight w:val="none"/>
                <w:lang w:eastAsia="zh-Hans"/>
              </w:rPr>
              <w:t>中小企业划分标准所属行业</w:t>
            </w:r>
          </w:p>
        </w:tc>
      </w:tr>
      <w:tr w14:paraId="41BF5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37F4840C">
            <w:pPr>
              <w:keepNext w:val="0"/>
              <w:keepLines w:val="0"/>
              <w:pageBreakBefore w:val="0"/>
              <w:widowControl w:val="0"/>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b w:val="0"/>
                <w:bCs w:val="0"/>
                <w:color w:val="auto"/>
                <w:kern w:val="2"/>
                <w:sz w:val="21"/>
                <w:szCs w:val="21"/>
                <w:highlight w:val="none"/>
              </w:rPr>
              <w:t>1</w:t>
            </w:r>
          </w:p>
        </w:tc>
        <w:tc>
          <w:tcPr>
            <w:tcW w:w="1070" w:type="dxa"/>
            <w:noWrap w:val="0"/>
            <w:vAlign w:val="center"/>
          </w:tcPr>
          <w:p w14:paraId="2FA48F52">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sz w:val="21"/>
                <w:szCs w:val="21"/>
                <w:highlight w:val="none"/>
              </w:rPr>
              <w:t>图书馆数字孪生物业协同适配升级</w:t>
            </w:r>
          </w:p>
        </w:tc>
        <w:tc>
          <w:tcPr>
            <w:tcW w:w="6927" w:type="dxa"/>
            <w:noWrap w:val="0"/>
            <w:vAlign w:val="top"/>
          </w:tcPr>
          <w:p w14:paraId="4EAFDBEA">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1、需完整还原图书馆大楼物业设施设备、分区标识等细节。</w:t>
            </w:r>
          </w:p>
          <w:p w14:paraId="753227F4">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2、模型多边形面数需合理控制，渲染流畅性与还原真实性兼顾。</w:t>
            </w:r>
          </w:p>
          <w:p w14:paraId="1868374D">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highlight w:val="none"/>
              </w:rPr>
              <w:t>★</w:t>
            </w:r>
            <w:r>
              <w:rPr>
                <w:rFonts w:hint="eastAsia" w:ascii="宋体" w:hAnsi="宋体" w:cs="宋体"/>
                <w:color w:val="auto"/>
                <w:sz w:val="21"/>
                <w:szCs w:val="21"/>
                <w:highlight w:val="none"/>
              </w:rPr>
              <w:t>3、需仿真还原图书馆大楼建筑外观（墙体、门窗、屋顶、台阶、走廊等）及内部结构（楼层、房间、楼梯、电梯、书架区域等）。（需提供真实运行的系统截图加以证明）</w:t>
            </w:r>
          </w:p>
          <w:p w14:paraId="0249AD9B">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4、需结合物业设备协同调整模型的贴图、材质等，仿真还原外立面材质、颜色、标识、装饰线条，屋顶造型、排水系统。</w:t>
            </w:r>
          </w:p>
          <w:p w14:paraId="5C7A8047">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highlight w:val="none"/>
              </w:rPr>
              <w:t>★</w:t>
            </w:r>
            <w:r>
              <w:rPr>
                <w:rFonts w:hint="eastAsia" w:ascii="宋体" w:hAnsi="宋体" w:cs="宋体"/>
                <w:color w:val="auto"/>
                <w:sz w:val="21"/>
                <w:szCs w:val="21"/>
                <w:highlight w:val="none"/>
              </w:rPr>
              <w:t>5、需还原各楼层物业设备设施布局、房间分布、墙体、梁柱位置、楼梯踏步，电梯轿厢及运行轨迹等内部结构。（需提供真实运行的系统截图加以证明）</w:t>
            </w:r>
          </w:p>
          <w:p w14:paraId="772F6DCA">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6、需完成管线及设施建模，完整还原管线及相关设施，各专业模型独立可区分，衔接准确；</w:t>
            </w:r>
          </w:p>
          <w:p w14:paraId="6C76F846">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7、需按图书馆实际配置，还原配电箱及配电柜的外形、布局等，主要元件示意表达清晰；还原电缆桥架走向、安装高度、桥架转弯、三通、四通、变径等节点表达准确；</w:t>
            </w:r>
          </w:p>
          <w:p w14:paraId="0445C6DB">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ascii="宋体" w:hAnsi="宋体" w:cs="宋体"/>
                <w:color w:val="auto"/>
                <w:sz w:val="24"/>
                <w:szCs w:val="24"/>
                <w:highlight w:val="none"/>
                <w:lang w:bidi="ar"/>
              </w:rPr>
              <w:t>▲</w:t>
            </w:r>
            <w:r>
              <w:rPr>
                <w:rFonts w:hint="eastAsia" w:ascii="宋体" w:hAnsi="宋体" w:cs="宋体"/>
                <w:color w:val="auto"/>
                <w:sz w:val="21"/>
                <w:szCs w:val="21"/>
                <w:highlight w:val="none"/>
              </w:rPr>
              <w:t>8、需还原活给水管、中水管的走向，立管与水平干管关系表达清晰；还原污水管、废水管、雨水管，地漏、清扫口、检查口等附件位置准确；还原消火栓给水管、自动喷淋管道，喷淋头按实际布置还原，装置表达完整；生活水泵、消防水泵的泵组基础装置表达清晰；消火栓箱、灭火器等按实际位置还原，水龙头、冲水阀、卫生器具外形与实际对应；（需提供系统演示视频）</w:t>
            </w:r>
          </w:p>
          <w:p w14:paraId="6C0593BC">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9、需还原中央空调主机位置、控制面板，机组基座及减振装置表达准确，核心部件示意清晰；还原各区域风机盘管的安装位置、送回风接管连接表达完整；还原送风管、回风管、排风管位置；</w:t>
            </w:r>
          </w:p>
          <w:p w14:paraId="299CBF94">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10、模型输出与交付输出格式要求为FBX或OBJ等Unity通用格式，支持材质贴图嵌入或单独输出。</w:t>
            </w:r>
          </w:p>
          <w:p w14:paraId="6FF9831E">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11、需提供完整的模型资产清单及目录结构。</w:t>
            </w:r>
          </w:p>
          <w:p w14:paraId="099C826F">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12、数字孪生模型响应速度要求：操作响应≤0.5秒，检索响应≤1秒；场景首次加载≤60秒，二次加载≤20秒；漫游及视角切换流畅。</w:t>
            </w:r>
          </w:p>
          <w:p w14:paraId="0E03B645">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13、需支持Windows 10及以上64位系统，兼容Chrome/Edge浏览器，适配大屏与PC端，支持1920×1080及以上分辨率自适应。</w:t>
            </w:r>
          </w:p>
          <w:p w14:paraId="4E75350F">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14、要求模块化设计，支持后期新增功能模块、扩展设备模型、对接第三方系统（如图书馆管理系统、监控系统），无需重构核心架构。</w:t>
            </w:r>
          </w:p>
          <w:p w14:paraId="41C8B117">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15、需支持视角旋转/缩放/平移（灵敏度可调）、场景及功能模块快速切换、自定义界面布局（按钮可隐藏/显示）。</w:t>
            </w:r>
          </w:p>
          <w:p w14:paraId="2E00B950">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16、引擎版本要求Unity 2021及以上稳定版，需支持PBR渲染，符合行业数字孪生开发标准。</w:t>
            </w:r>
          </w:p>
          <w:p w14:paraId="3875D44F">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17、渲染能力需支持大规模场景渲染、LOD模型平滑切换；场景烘焙无曝光过度、无黑边；采用PostProcess后处理。</w:t>
            </w:r>
          </w:p>
          <w:p w14:paraId="3464159F">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18、需满足PBR还原材质颜色、透明度、反光度、粗糙度等属性，光线及阴影真实，支持反射与折射。纹理分辨率≥2048×2048，清晰无拉伸，贴合实际材质，不同区域纹理差异明显。</w:t>
            </w:r>
          </w:p>
          <w:p w14:paraId="0C0DC5FF">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19、需支持分区域渲染、动态渲染，根据视角距离自动调整精度；全场景帧率≥30fps，无颠簸、抖动、黑色拖尾、画面撕裂。</w:t>
            </w:r>
          </w:p>
          <w:p w14:paraId="7B70B49C">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20、自项目验收合格之日起的质保期内，若图书馆楼体结构或物业相关设备设施因装修改造、设备更换等原因发生变动，供应商应配合学校对已交付的模型进行相应更新维护，包括但不限于新增建模、模型删减、位置调整、贴图与材质更新等，确保模型与图书馆楼实际物理状态保持一致。</w:t>
            </w:r>
          </w:p>
          <w:p w14:paraId="0E1800C1">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kern w:val="2"/>
                <w:sz w:val="21"/>
                <w:szCs w:val="21"/>
                <w:highlight w:val="none"/>
                <w:lang w:eastAsia="zh-Hans"/>
              </w:rPr>
              <w:t>21、</w:t>
            </w:r>
            <w:r>
              <w:rPr>
                <w:rFonts w:hint="eastAsia" w:ascii="宋体" w:hAnsi="宋体" w:cs="宋体"/>
                <w:color w:val="auto"/>
                <w:sz w:val="21"/>
                <w:szCs w:val="21"/>
                <w:highlight w:val="none"/>
              </w:rPr>
              <w:t>供应商须完整交付全套工程源代码、三维模型分层源文件、开发工程文件、后台数据库、接口文档，全部知识产权、著作权永久归属采购人，无任何使用限制。</w:t>
            </w:r>
          </w:p>
        </w:tc>
        <w:tc>
          <w:tcPr>
            <w:tcW w:w="696" w:type="dxa"/>
            <w:noWrap w:val="0"/>
            <w:vAlign w:val="center"/>
          </w:tcPr>
          <w:p w14:paraId="61A3B0A7">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sz w:val="21"/>
                <w:szCs w:val="21"/>
                <w:highlight w:val="none"/>
              </w:rPr>
              <w:t>1</w:t>
            </w:r>
          </w:p>
        </w:tc>
        <w:tc>
          <w:tcPr>
            <w:tcW w:w="690" w:type="dxa"/>
            <w:noWrap w:val="0"/>
            <w:vAlign w:val="center"/>
          </w:tcPr>
          <w:p w14:paraId="55F9D960">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val="en-US" w:eastAsia="zh-CN"/>
              </w:rPr>
            </w:pPr>
            <w:r>
              <w:rPr>
                <w:rFonts w:hint="eastAsia" w:ascii="宋体" w:hAnsi="宋体" w:cs="宋体"/>
                <w:color w:val="auto"/>
                <w:kern w:val="2"/>
                <w:sz w:val="21"/>
                <w:szCs w:val="21"/>
                <w:highlight w:val="none"/>
              </w:rPr>
              <w:t>套</w:t>
            </w:r>
          </w:p>
        </w:tc>
        <w:tc>
          <w:tcPr>
            <w:tcW w:w="1065" w:type="dxa"/>
            <w:noWrap w:val="0"/>
            <w:vAlign w:val="center"/>
          </w:tcPr>
          <w:p w14:paraId="18A0308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rPr>
              <w:t>软件和信息技术服务业</w:t>
            </w:r>
          </w:p>
        </w:tc>
      </w:tr>
      <w:tr w14:paraId="6ED45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5A5A6AF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b w:val="0"/>
                <w:bCs w:val="0"/>
                <w:color w:val="auto"/>
                <w:kern w:val="2"/>
                <w:sz w:val="21"/>
                <w:szCs w:val="21"/>
                <w:highlight w:val="none"/>
              </w:rPr>
              <w:t>2</w:t>
            </w:r>
          </w:p>
        </w:tc>
        <w:tc>
          <w:tcPr>
            <w:tcW w:w="1070" w:type="dxa"/>
            <w:noWrap w:val="0"/>
            <w:vAlign w:val="center"/>
          </w:tcPr>
          <w:p w14:paraId="404A642D">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sz w:val="21"/>
                <w:szCs w:val="21"/>
                <w:highlight w:val="none"/>
              </w:rPr>
              <w:t>智慧物业设备数字孪生系统开发</w:t>
            </w:r>
          </w:p>
        </w:tc>
        <w:tc>
          <w:tcPr>
            <w:tcW w:w="6927" w:type="dxa"/>
            <w:noWrap w:val="0"/>
            <w:vAlign w:val="top"/>
          </w:tcPr>
          <w:p w14:paraId="47F2FA80">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本标的所述全部系统功能的开发与交付，须在标的1“图书馆数字孪生物业协同适配升级”全部工作内容（包含既有模型校核优化、物业设施补全、设备模型建立、模型资产整合及交付）完成的基础上进行，确保数字孪生系统与标的1交付的模型资产无缝对接、完整可用。</w:t>
            </w:r>
          </w:p>
          <w:p w14:paraId="322FD1A6">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2、系统数据覆盖需包含设备运行数据、环境数据、运维数据等。</w:t>
            </w:r>
          </w:p>
          <w:p w14:paraId="6826E942">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ascii="宋体" w:hAnsi="宋体" w:cs="宋体"/>
                <w:color w:val="auto"/>
                <w:sz w:val="24"/>
                <w:szCs w:val="24"/>
                <w:highlight w:val="none"/>
                <w:lang w:bidi="ar"/>
              </w:rPr>
              <w:t>▲</w:t>
            </w:r>
            <w:r>
              <w:rPr>
                <w:rFonts w:hint="eastAsia" w:ascii="宋体" w:hAnsi="宋体" w:cs="宋体"/>
                <w:color w:val="auto"/>
                <w:sz w:val="21"/>
                <w:szCs w:val="21"/>
                <w:highlight w:val="none"/>
              </w:rPr>
              <w:t>3、系统可视化形式需包含仪表盘（单值/多值仪表，适配运行参数展示）、折线图（时间序列数据，支持多曲线叠加对比）、柱状图（分类对比，支持堆叠/分组样式）、饼图（占比分析，支持环形/扇形）、数值显示（大字突出核心指标，支持单位切换）、进度条（百分比数据，支持分段颜色），根据数据类型自动匹配或手动指定最优可视化组件。（需提供系统演示视频）</w:t>
            </w:r>
          </w:p>
          <w:p w14:paraId="079B160A">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4、系统数据更新要求实时数据默认刷新间隔1-10秒可调，支持逐设备设定不同频率；提供手动刷新按钮，单次即时拉取最新数据；历史数据支持按日、周、月、年粒度查询，可自定义起止时间范围；趋势查看支持图表缩放、时段拖动，异常波动时段自动标注醒目底色。</w:t>
            </w:r>
          </w:p>
          <w:p w14:paraId="51465F6D">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5、系统交互方式需满足点击三维场景内设备模型或可视化图表弹出详情面板，展示该设备全部运行参数及历史曲线；数据导出可按筛选条件导出指定时间范围和设备群组的数据；异常数据标注功能支持手动添加备注标签，系统自动将超出阈值的数值以醒目颜色标识，并记录异常发生时间与恢复时间。</w:t>
            </w:r>
          </w:p>
          <w:p w14:paraId="7FA73A8B">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6、鼠标/键盘操作模式需支持左键旋转、右键平移、滚轮缩放、WASD移动等默认操作，触控模式支持单指旋转、双指缩放手势；快捷键支持自定义绑定，操作灵敏度分档可调；界面首次加载时展示基础操作引导浮层，操作错误时在屏幕中央短暂提示正确操作方式；</w:t>
            </w:r>
          </w:p>
          <w:p w14:paraId="13482A14">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ascii="宋体" w:hAnsi="宋体" w:cs="宋体"/>
                <w:color w:val="auto"/>
                <w:sz w:val="24"/>
                <w:szCs w:val="24"/>
                <w:highlight w:val="none"/>
                <w:lang w:bidi="ar"/>
              </w:rPr>
              <w:t>▲</w:t>
            </w:r>
            <w:r>
              <w:rPr>
                <w:rFonts w:hint="eastAsia" w:ascii="宋体" w:hAnsi="宋体" w:cs="宋体"/>
                <w:color w:val="auto"/>
                <w:sz w:val="21"/>
                <w:szCs w:val="21"/>
                <w:highlight w:val="none"/>
              </w:rPr>
              <w:t>7、系统视觉效果需提供亮度、对比度、饱和度三组独立滑块调节，预设白天模式、夜间模式、展示模式三套方案一键切换；视觉风格支持基础配色方案定制（主色调、辅助色、高亮色），不改变功能布局。（需提供系统演示视频）</w:t>
            </w:r>
          </w:p>
          <w:p w14:paraId="392A53F0">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8、系统音效需支持环境音效、操作音效、提示音效，清晰无杂音；音量0-100%可调，支持开关控制，与操作、场景同步无延迟。</w:t>
            </w:r>
          </w:p>
          <w:p w14:paraId="5B9E39F4">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9、系统浏览模式需支持键盘WASD+鼠标拖拽组合操作，移动速度分快/中/慢三档，垂直方向可升至任意高度俯瞰全楼；固定路径浏览模式下，每条路线包含若干关键视点，自动播放时按预设节奏推进，暂停后可手动拖拽环顾四周再继续，快进/后退以视点为单位跳转。</w:t>
            </w:r>
          </w:p>
          <w:p w14:paraId="078B22B6">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10、系统视角控制需第一人称模拟人眼高度行走，第三人称可调整跟随距离和俯仰角度；视角锁定支持两种模式：对象锁定（选中目标设备后视角围绕其旋转，适合逐一巡检）和区域锁定（视角限制在指定空间边界内，适合重点区域反复查看）；锁定状态下支持缩放和轨道旋转，不丢失锁定目标。</w:t>
            </w:r>
          </w:p>
          <w:p w14:paraId="5F1945F3">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11、系统需支持按楼层、区域（借阅区、阅览区、办公区等）快速切换，提供场景缩略图点击跳转。</w:t>
            </w:r>
          </w:p>
          <w:p w14:paraId="4C499147">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12、系统需具备检索定位功能，检索框支持按建筑区域名称、房间编号、设备名称/型号/编号、管线系统类型及编号等关键词输入，实时过滤匹配结果列表；选中检索结果后，视角自动飞入并聚焦至目标对象，目标对象以轮廓高亮+脉冲光效提示小地图支持滚轮缩放和拖拽移动视窗，地图上标注当前视角位置与朝向箭头。</w:t>
            </w:r>
          </w:p>
          <w:p w14:paraId="22A41C2C">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13、系统需支持漫游，包含手动漫游和自动漫游模式，其中手动漫游带碰撞检测（避免穿墙穿模），自动漫游需支持预设路线；全程流畅无卡顿、无抖动，视角切换自然，支持暂停与视角切换。</w:t>
            </w:r>
          </w:p>
          <w:p w14:paraId="4FDE976E">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14、系统需支持按专业系统（电气、给排水、暖通、消防、电梯等）进行模型分层显示。提供系统分层控制面板，以复选框列表展示各系统，支持单选隔离查看（仅显示选中系统）、多选组合查看（同时显示多个系统）、全选恢复及全隐（仅保留建筑主体）。在场景中点击任意模型，控制面板自动定位至该模型所属系统并高亮提示，支持一键切换至该系统隔离显示模式。分层状态在场景切换后自动保持。</w:t>
            </w:r>
          </w:p>
          <w:p w14:paraId="73491D5C">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15、系统动态效果需涵盖设备运转（电梯上下、空调运转、灯光开关）、人流动画（读者借阅、工作人员办公）、环境变化（窗帘开合、阳光移动）、管线介质流动（水流、气流），动画逻辑合理、帧率≥24fps。</w:t>
            </w:r>
          </w:p>
          <w:p w14:paraId="41D35E69">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highlight w:val="none"/>
              </w:rPr>
              <w:t>★</w:t>
            </w:r>
            <w:r>
              <w:rPr>
                <w:rFonts w:hint="eastAsia" w:ascii="宋体" w:hAnsi="宋体" w:cs="宋体"/>
                <w:color w:val="auto"/>
                <w:sz w:val="21"/>
                <w:szCs w:val="21"/>
                <w:highlight w:val="none"/>
              </w:rPr>
              <w:t>16、系统可视化界面需支持拖拽式组件布局（仪表盘面板、图表组件位置可自由排列）、数据展示范围支持按设备群组或单设备筛选、图表样式支持配色方案切换及坐标轴/图例显隐配置；新增数据类型支持后台配置模式，导入数据字段定义后系统自动生成对应的可视化组件选项。（需提供真实运行的系统截图加以证明）</w:t>
            </w:r>
          </w:p>
          <w:p w14:paraId="5C63D83B">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17、系统视频监控可视化需对接视频监控系统，获取摄像头位置、布局、点位信息及设备信息，实现设备位置与状态可视。</w:t>
            </w:r>
          </w:p>
          <w:p w14:paraId="763F0C54">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18、消防管理可视化需展示消防监控设备空间点位及关联信息，支持高亮/闪烁展示报警值及位置；集成消防管理系统，以不同颜色/形状图例区分设备工作状态。</w:t>
            </w:r>
          </w:p>
          <w:p w14:paraId="30387D7B">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19、空调管道系统可视化需获取空调控制系统数据，展示管道介质流向、温度、压力、故障告警。</w:t>
            </w:r>
          </w:p>
          <w:p w14:paraId="4C958271">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20、电梯系统可视化需获取电梯控制系统实时数据，展示运行状态（运行/停靠/待机/故障）及告警。</w:t>
            </w:r>
          </w:p>
          <w:p w14:paraId="5F3A5BB1">
            <w:pPr>
              <w:keepNext w:val="0"/>
              <w:keepLines w:val="0"/>
              <w:pageBreakBefore w:val="0"/>
              <w:widowControl w:val="0"/>
              <w:kinsoku/>
              <w:wordWrap/>
              <w:overflowPunct/>
              <w:topLinePunct w:val="0"/>
              <w:autoSpaceDE/>
              <w:autoSpaceDN/>
              <w:bidi w:val="0"/>
              <w:spacing w:after="120" w:afterLines="0" w:line="280" w:lineRule="exact"/>
              <w:ind w:left="0" w:leftChars="0" w:firstLine="0" w:firstLineChars="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21、防火自动喷淋仿真系统需将图书馆消防自动喷淋系统进行三维虚拟化还原，在数字孪生场景中可独立进入仿真学习模式。需包含：设备认知：展示湿式报警阀组内部结构，各部件名称及功能以标签标注，支持旋转缩放查看；系统组成与管道布置：以高亮走线方式展示管路走向，各分区控制阀门位置以不同颜色标识；支持按防火分区逐区展示管道布局。运行原理：以动画演示湿式系统工作原理和流程，各环节时序以进度条指示。运行操作：模拟消防水泵手动启停操作、报警阀组复位操作、末端试水装置测试操作，操作步骤按规程分步引导，操作错误时提示正确方式。教学视频：内置操作实拍讲解视频，支持全屏/小屏切换、倍速播放、关键步骤书签跳转。</w:t>
            </w:r>
          </w:p>
          <w:p w14:paraId="216CFFEF">
            <w:pPr>
              <w:keepNext w:val="0"/>
              <w:keepLines w:val="0"/>
              <w:pageBreakBefore w:val="0"/>
              <w:widowControl w:val="0"/>
              <w:kinsoku/>
              <w:wordWrap/>
              <w:overflowPunct/>
              <w:topLinePunct w:val="0"/>
              <w:autoSpaceDE/>
              <w:autoSpaceDN/>
              <w:bidi w:val="0"/>
              <w:spacing w:after="120" w:afterLines="0" w:line="280" w:lineRule="exact"/>
              <w:ind w:left="0" w:leftChars="0" w:firstLine="0" w:firstLineChars="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22、中央空调风机盘管仿真系统需包含结构认知：以分层拆解方式展示风机盘管各组成部分——机壳、离心风机、电机、表冷器、空气过滤器、凝水盘、送回风口，每层拆解后对应部件名称和功能以文字标注说明；展示冷冻水供回水接口位置及流向标识。虚拟拆装操作：按专业维保规程设计拆卸和组装两步流程。每步需用拖拽对应工具至正确操作点方可执行；组装按逆序进行，部件归位时自动吸附至正确安装位置。拆卸和组装分别计时，操作步骤错误时提示正确顺序。清洗操作模拟：以动画演示过滤器清洗、表冷器翅片清洗、凝水盘清洗的标准流程；用户可交互式选择清洗工具和方式，系统判断操作是否规范并反馈。教学视频：内置翅片清洗操作实拍讲解视频，支持全屏/小屏切换、倍速播放、关键步骤书签跳转。</w:t>
            </w:r>
          </w:p>
          <w:p w14:paraId="1B0A234C">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ascii="宋体" w:hAnsi="宋体" w:cs="宋体"/>
                <w:color w:val="auto"/>
                <w:sz w:val="24"/>
                <w:szCs w:val="24"/>
                <w:highlight w:val="none"/>
                <w:lang w:bidi="ar"/>
              </w:rPr>
              <w:t>▲</w:t>
            </w:r>
            <w:r>
              <w:rPr>
                <w:rFonts w:hint="eastAsia" w:ascii="宋体" w:hAnsi="宋体" w:cs="宋体"/>
                <w:color w:val="auto"/>
                <w:kern w:val="2"/>
                <w:sz w:val="21"/>
                <w:szCs w:val="21"/>
                <w:highlight w:val="none"/>
              </w:rPr>
              <w:t>23、</w:t>
            </w:r>
            <w:r>
              <w:rPr>
                <w:rFonts w:hint="eastAsia" w:ascii="宋体" w:hAnsi="宋体" w:cs="宋体"/>
                <w:color w:val="auto"/>
                <w:sz w:val="21"/>
                <w:szCs w:val="21"/>
                <w:highlight w:val="none"/>
              </w:rPr>
              <w:t>电梯仿真系统需包含系统结构认知：以层次拆解方式展示电梯组件：曳引系统、导向系统、轿厢系统、门系统、重量平衡系统、电力拖动系统、电气控制系统、安全保护系统。各系统以不同颜色区分，点击任意部件弹出名称和功能说明。日常检查模拟：每项检查完成后打勾记录。应急事故处理：预设困人救援、断电应急、火灾应急等场景。每个场景按真实应急流程分步引导操作，步骤正确推进，错误操作提示风险并重新选择。知识点测试：设置选择题、判断题、场景操作题，全部答对进入下一章节，支持答题进度追踪和成绩汇总显示。教学视频：内置操作实拍讲解视频，支持全屏/小屏切换、倍速播放、关键步骤书签跳转。（提供系统演示视频）</w:t>
            </w:r>
          </w:p>
          <w:p w14:paraId="04EC9712">
            <w:pPr>
              <w:keepNext w:val="0"/>
              <w:keepLines w:val="0"/>
              <w:pageBreakBefore w:val="0"/>
              <w:widowControl w:val="0"/>
              <w:kinsoku/>
              <w:wordWrap/>
              <w:overflowPunct/>
              <w:topLinePunct w:val="0"/>
              <w:autoSpaceDE/>
              <w:autoSpaceDN/>
              <w:bidi w:val="0"/>
              <w:spacing w:after="120" w:afterLines="0" w:line="280" w:lineRule="exact"/>
              <w:ind w:left="0" w:leftChars="0" w:firstLine="0" w:firstLineChars="0"/>
              <w:jc w:val="both"/>
              <w:textAlignment w:val="auto"/>
              <w:rPr>
                <w:rFonts w:hint="eastAsia" w:ascii="宋体" w:hAnsi="宋体" w:eastAsia="宋体" w:cs="宋体"/>
                <w:color w:val="auto"/>
                <w:kern w:val="2"/>
                <w:sz w:val="21"/>
                <w:szCs w:val="21"/>
                <w:highlight w:val="none"/>
                <w:lang w:val="en-US" w:eastAsia="zh-CN" w:bidi="ar-SA"/>
              </w:rPr>
            </w:pPr>
          </w:p>
          <w:p w14:paraId="1F9C0D19">
            <w:pPr>
              <w:keepNext w:val="0"/>
              <w:keepLines w:val="0"/>
              <w:pageBreakBefore w:val="0"/>
              <w:widowControl w:val="0"/>
              <w:kinsoku/>
              <w:wordWrap/>
              <w:overflowPunct/>
              <w:topLinePunct w:val="0"/>
              <w:autoSpaceDE/>
              <w:autoSpaceDN/>
              <w:bidi w:val="0"/>
              <w:spacing w:after="120" w:afterLines="0" w:line="280" w:lineRule="exact"/>
              <w:ind w:left="0" w:leftChars="0" w:firstLine="0" w:firstLineChars="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24、系统需内置物业设备多级分类树（供配电：变压器/配电柜/UPS，给排水：水泵/阀门/水箱，暖通：机组/风机盘管/冷却塔，消防：消防泵/喷淋头/报警器等），在三维场景侧边栏以树形目录展示。点击任意分类节点，场景中对应设备高亮筛选，其余设备半透明隐藏，便于按系统集中查看。支持分类树与场景联动的双向操作，在场景中点击设备，分类树同步展开并定位至该设备所属节点。</w:t>
            </w:r>
          </w:p>
          <w:p w14:paraId="40C02DBF">
            <w:pPr>
              <w:keepNext w:val="0"/>
              <w:keepLines w:val="0"/>
              <w:pageBreakBefore w:val="0"/>
              <w:widowControl w:val="0"/>
              <w:kinsoku/>
              <w:wordWrap/>
              <w:overflowPunct/>
              <w:topLinePunct w:val="0"/>
              <w:autoSpaceDE/>
              <w:autoSpaceDN/>
              <w:bidi w:val="0"/>
              <w:spacing w:after="120" w:afterLines="0" w:line="280" w:lineRule="exact"/>
              <w:ind w:left="0" w:leftChars="0" w:firstLine="0" w:firstLineChars="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25、系统需具备设备状态标识，包含三维场景中每台设备以颜色标签直观显示当前状态（绿色=在役、黄色=维修中、红色=故障报警、灰色=停用/报废），标签悬浮于设备上方。点击设备弹出状态详情面板，展示当前状态、最近一次状态变更时间及原因、完整状态履历时间轴。设备状态变更时，三维场景中对应设备标签实时刷新，无需手动更新。</w:t>
            </w:r>
          </w:p>
          <w:p w14:paraId="59DC842B">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highlight w:val="none"/>
              </w:rPr>
              <w:t>★</w:t>
            </w:r>
            <w:r>
              <w:rPr>
                <w:rFonts w:hint="eastAsia" w:ascii="宋体" w:hAnsi="宋体" w:cs="宋体"/>
                <w:color w:val="auto"/>
                <w:kern w:val="2"/>
                <w:sz w:val="21"/>
                <w:szCs w:val="21"/>
                <w:highlight w:val="none"/>
              </w:rPr>
              <w:t>26、</w:t>
            </w:r>
            <w:r>
              <w:rPr>
                <w:rFonts w:hint="eastAsia" w:ascii="宋体" w:hAnsi="宋体" w:cs="宋体"/>
                <w:color w:val="auto"/>
                <w:sz w:val="21"/>
                <w:szCs w:val="21"/>
                <w:highlight w:val="none"/>
              </w:rPr>
              <w:t>系统需满足在三维场景中点击任意设备，弹出设备信息卡片面板，展示该设备的信息。支持点击设备标签（二维码/条码图标）放大展示，便于移动作业人员扫码核对。（需提供真实运行的系统截图加以证明）</w:t>
            </w:r>
          </w:p>
          <w:p w14:paraId="2E6C777F">
            <w:pPr>
              <w:keepNext w:val="0"/>
              <w:keepLines w:val="0"/>
              <w:pageBreakBefore w:val="0"/>
              <w:widowControl w:val="0"/>
              <w:kinsoku/>
              <w:wordWrap/>
              <w:overflowPunct/>
              <w:topLinePunct w:val="0"/>
              <w:autoSpaceDE/>
              <w:autoSpaceDN/>
              <w:bidi w:val="0"/>
              <w:spacing w:after="120" w:afterLines="0" w:line="280" w:lineRule="exact"/>
              <w:ind w:left="0" w:leftChars="0" w:firstLine="0" w:firstLineChars="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27、系统需满足点击物业设备后在面板中可查看该设备关联的标准工作包，内容包括：标准作业步骤（逐条列出）、所需备品备件清单及数量、标准工时、所需工具清单。运维人员执行工单时可在三维场景中直接调阅对应的标准作业指引，按步骤逐项确认完成。</w:t>
            </w:r>
            <w:r>
              <w:rPr>
                <w:rFonts w:hint="eastAsia" w:ascii="宋体" w:hAnsi="宋体" w:eastAsia="宋体" w:cs="宋体"/>
                <w:color w:val="auto"/>
                <w:kern w:val="0"/>
                <w:sz w:val="21"/>
                <w:szCs w:val="21"/>
                <w:highlight w:val="none"/>
                <w:lang w:val="en-US" w:eastAsia="zh-CN" w:bidi="ar-SA"/>
              </w:rPr>
              <w:t>（需提供真实运行的系统截图加以证明）</w:t>
            </w:r>
          </w:p>
          <w:p w14:paraId="10224BBC">
            <w:pPr>
              <w:keepNext w:val="0"/>
              <w:keepLines w:val="0"/>
              <w:pageBreakBefore w:val="0"/>
              <w:widowControl w:val="0"/>
              <w:kinsoku/>
              <w:wordWrap/>
              <w:overflowPunct/>
              <w:topLinePunct w:val="0"/>
              <w:autoSpaceDE/>
              <w:autoSpaceDN/>
              <w:bidi w:val="0"/>
              <w:spacing w:after="120" w:afterLines="0" w:line="280" w:lineRule="exact"/>
              <w:ind w:left="0" w:leftChars="0" w:firstLine="0" w:firstLineChars="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28、三维场景中需支持一键切换至数据监控模式，此时所有接入数据的设备上方浮现实时数据标签（如变压器负载率、水泵运行频率、空调出水温度），以数值+迷你仪表盘形式展示。点击任一设备弹出运行详情面板，展示运行曲线、历史运行数据查询入口（按日/周/月切换），以及该设备的累计运行时长、停机次数等统计指标。设备参数超出预警阈值时，对应设备模型以红色脉冲光效闪烁告警，面板同步显示超限参数及阈值。</w:t>
            </w:r>
          </w:p>
          <w:p w14:paraId="508B648D">
            <w:pPr>
              <w:keepNext w:val="0"/>
              <w:keepLines w:val="0"/>
              <w:pageBreakBefore w:val="0"/>
              <w:widowControl w:val="0"/>
              <w:kinsoku/>
              <w:wordWrap/>
              <w:overflowPunct/>
              <w:topLinePunct w:val="0"/>
              <w:autoSpaceDE/>
              <w:autoSpaceDN/>
              <w:bidi w:val="0"/>
              <w:spacing w:after="120" w:afterLines="0" w:line="280" w:lineRule="exact"/>
              <w:ind w:left="0" w:leftChars="0" w:firstLine="0" w:firstLineChars="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29、系统需具备物业设备维护记录查看，点击设备后，面板中设有维护档案"标签页，以时间轴形式展示该设备维修维护记录，每条记录包含：维修日期、维修类型（巡检/保养/故障维修）、维修内容摘要、维修结果等。时间轴支持滚动浏览，点击单条记录展开完整维修工单详情（含故障照片、维修步骤、所用备件、工时费用）。日常巡检任务通过系统推送至三维场景主界面提醒栏，点击可跳转至对应设备并加载巡检检查表，巡检人员逐项打勾完成。</w:t>
            </w:r>
            <w:r>
              <w:rPr>
                <w:rFonts w:hint="eastAsia" w:ascii="宋体" w:hAnsi="宋体" w:eastAsia="宋体" w:cs="宋体"/>
                <w:color w:val="auto"/>
                <w:kern w:val="0"/>
                <w:sz w:val="21"/>
                <w:szCs w:val="21"/>
                <w:highlight w:val="none"/>
                <w:lang w:val="en-US" w:eastAsia="zh-CN" w:bidi="ar-SA"/>
              </w:rPr>
              <w:t>（需提供真实运行的系统截图加以证明）</w:t>
            </w:r>
          </w:p>
          <w:p w14:paraId="680CDDD1">
            <w:pPr>
              <w:keepNext w:val="0"/>
              <w:keepLines w:val="0"/>
              <w:pageBreakBefore w:val="0"/>
              <w:widowControl w:val="0"/>
              <w:kinsoku/>
              <w:wordWrap/>
              <w:overflowPunct/>
              <w:topLinePunct w:val="0"/>
              <w:autoSpaceDE/>
              <w:autoSpaceDN/>
              <w:bidi w:val="0"/>
              <w:spacing w:after="120" w:afterLines="0" w:line="280" w:lineRule="exact"/>
              <w:ind w:left="0" w:leftChars="0" w:firstLine="0" w:firstLineChars="0"/>
              <w:jc w:val="both"/>
              <w:textAlignment w:val="auto"/>
              <w:rPr>
                <w:rFonts w:hint="eastAsia" w:ascii="宋体" w:hAnsi="宋体" w:eastAsia="宋体" w:cs="宋体"/>
                <w:b w:val="0"/>
                <w:bCs w:val="0"/>
                <w:color w:val="auto"/>
                <w:kern w:val="2"/>
                <w:sz w:val="21"/>
                <w:szCs w:val="21"/>
                <w:highlight w:val="none"/>
                <w:lang w:val="en-US" w:eastAsia="zh-Hans" w:bidi="ar-SA"/>
              </w:rPr>
            </w:pPr>
            <w:r>
              <w:rPr>
                <w:rFonts w:hint="eastAsia" w:ascii="宋体" w:hAnsi="宋体" w:eastAsia="宋体" w:cs="宋体"/>
                <w:color w:val="auto"/>
                <w:kern w:val="2"/>
                <w:sz w:val="21"/>
                <w:szCs w:val="21"/>
                <w:highlight w:val="none"/>
                <w:lang w:val="en-US" w:eastAsia="zh-Hans" w:bidi="ar-SA"/>
              </w:rPr>
              <w:t>30、</w:t>
            </w:r>
            <w:r>
              <w:rPr>
                <w:rFonts w:hint="eastAsia" w:ascii="宋体" w:hAnsi="宋体" w:eastAsia="宋体" w:cs="宋体"/>
                <w:color w:val="auto"/>
                <w:kern w:val="2"/>
                <w:sz w:val="21"/>
                <w:szCs w:val="21"/>
                <w:highlight w:val="none"/>
                <w:lang w:val="en-US" w:eastAsia="zh-CN" w:bidi="ar-SA"/>
              </w:rPr>
              <w:t>供应商须完整交付全套工程源代码、三维模型分层源文件、开发工程文件、后台数据库、接口文档，全部知识产权、著作权永久归属采购人，无任何使用限制。</w:t>
            </w:r>
          </w:p>
        </w:tc>
        <w:tc>
          <w:tcPr>
            <w:tcW w:w="696" w:type="dxa"/>
            <w:noWrap w:val="0"/>
            <w:vAlign w:val="center"/>
          </w:tcPr>
          <w:p w14:paraId="6CD2A2E0">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sz w:val="21"/>
                <w:szCs w:val="21"/>
                <w:highlight w:val="none"/>
              </w:rPr>
              <w:t>1</w:t>
            </w:r>
          </w:p>
        </w:tc>
        <w:tc>
          <w:tcPr>
            <w:tcW w:w="690" w:type="dxa"/>
            <w:noWrap w:val="0"/>
            <w:vAlign w:val="center"/>
          </w:tcPr>
          <w:p w14:paraId="01B1AFE8">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kern w:val="2"/>
                <w:sz w:val="21"/>
                <w:szCs w:val="21"/>
                <w:highlight w:val="none"/>
              </w:rPr>
              <w:t>套</w:t>
            </w:r>
          </w:p>
        </w:tc>
        <w:tc>
          <w:tcPr>
            <w:tcW w:w="1065" w:type="dxa"/>
            <w:noWrap w:val="0"/>
            <w:vAlign w:val="center"/>
          </w:tcPr>
          <w:p w14:paraId="224B77A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b w:val="0"/>
                <w:bCs w:val="0"/>
                <w:color w:val="auto"/>
                <w:kern w:val="2"/>
                <w:sz w:val="21"/>
                <w:szCs w:val="21"/>
                <w:highlight w:val="none"/>
                <w:lang w:val="en-US" w:eastAsia="zh-Hans"/>
              </w:rPr>
              <w:t>软件和信息技术服务业</w:t>
            </w:r>
          </w:p>
        </w:tc>
      </w:tr>
      <w:tr w14:paraId="0079C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4A96E15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b w:val="0"/>
                <w:bCs w:val="0"/>
                <w:color w:val="auto"/>
                <w:kern w:val="2"/>
                <w:sz w:val="21"/>
                <w:szCs w:val="21"/>
                <w:highlight w:val="none"/>
              </w:rPr>
              <w:t>3</w:t>
            </w:r>
          </w:p>
        </w:tc>
        <w:tc>
          <w:tcPr>
            <w:tcW w:w="1070" w:type="dxa"/>
            <w:noWrap w:val="0"/>
            <w:vAlign w:val="center"/>
          </w:tcPr>
          <w:p w14:paraId="7C676132">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sz w:val="21"/>
                <w:szCs w:val="21"/>
                <w:highlight w:val="none"/>
                <w:lang w:eastAsia="zh-Hans"/>
              </w:rPr>
            </w:pPr>
            <w:r>
              <w:rPr>
                <w:rFonts w:hint="eastAsia" w:ascii="宋体" w:hAnsi="宋体" w:cs="宋体"/>
                <w:color w:val="auto"/>
                <w:sz w:val="21"/>
                <w:szCs w:val="21"/>
                <w:highlight w:val="none"/>
              </w:rPr>
              <w:t>数字孪生控制台</w:t>
            </w:r>
          </w:p>
        </w:tc>
        <w:tc>
          <w:tcPr>
            <w:tcW w:w="6927" w:type="dxa"/>
            <w:noWrap w:val="0"/>
            <w:vAlign w:val="top"/>
          </w:tcPr>
          <w:p w14:paraId="60389EC7">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数字孪生系统专用交互操控终端，为定制化一体式专用设备，集成高清触控交互屏与嵌入式三维图形运算核心，专用于图书馆数字孪生系统实时三维场景渲染、数据可视化交互及系统集中操控，与数字孪生软件平台深度适配。</w:t>
            </w:r>
          </w:p>
          <w:p w14:paraId="2B0BB3E5">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2、触控交互屏：43英寸多点触控屏，分辨率≥3840×2160，响应时间≤7ms，对比度≥1200:1，色域≥60%NTSC，可视角度≥89°/89°/89°/89°。</w:t>
            </w:r>
          </w:p>
          <w:p w14:paraId="156F29C0">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3、嵌入式运算模块：内置高性能处理器，不低于16核心，集成三维图形运算单元，图形渲染性能不低于RTX 3060级别，系统内存≥16GB，支持PBR实时渲染及大规模三维场景流畅运行。</w:t>
            </w:r>
          </w:p>
          <w:p w14:paraId="0FB1A97E">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4、电源规格：AC100-240V，50/60Hz，整机总功耗≤300W，待机功耗≤0.5W。</w:t>
            </w:r>
          </w:p>
          <w:p w14:paraId="7DB27240">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5、扩展接口：提供外设扩展接口及视音频输出接口，支持数字孪生场景多屏扩展与外部设备接入，不少于USB接口×1，HDMI×1，电源接口×1，USB touch接口×1。主机接口不少于USB接口×6，HDMI接口×2，DP接口×1，WiFi 6网卡×1，RJ45 1000M接口×1。</w:t>
            </w:r>
          </w:p>
          <w:p w14:paraId="22A3E148">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sz w:val="21"/>
                <w:szCs w:val="21"/>
                <w:highlight w:val="none"/>
                <w:lang w:eastAsia="zh-Hans"/>
              </w:rPr>
            </w:pPr>
            <w:r>
              <w:rPr>
                <w:rFonts w:hint="eastAsia" w:ascii="宋体" w:hAnsi="宋体" w:cs="宋体"/>
                <w:color w:val="auto"/>
                <w:sz w:val="21"/>
                <w:szCs w:val="21"/>
                <w:highlight w:val="none"/>
                <w:lang w:eastAsia="zh-Hans"/>
              </w:rPr>
              <w:t>6、</w:t>
            </w:r>
            <w:r>
              <w:rPr>
                <w:rFonts w:hint="eastAsia" w:ascii="宋体" w:hAnsi="宋体" w:cs="宋体"/>
                <w:color w:val="auto"/>
                <w:sz w:val="21"/>
                <w:szCs w:val="21"/>
                <w:highlight w:val="none"/>
              </w:rPr>
              <w:t>定制交付要求：本设备为数字孪生系统专用定制设备，出厂预装数字孪生运行环境，与数字孪生软件平台完成联调适配后方可交付，确保开箱即用。</w:t>
            </w:r>
          </w:p>
        </w:tc>
        <w:tc>
          <w:tcPr>
            <w:tcW w:w="696" w:type="dxa"/>
            <w:noWrap w:val="0"/>
            <w:vAlign w:val="center"/>
          </w:tcPr>
          <w:p w14:paraId="0AC93A42">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sz w:val="21"/>
                <w:szCs w:val="21"/>
                <w:highlight w:val="none"/>
              </w:rPr>
              <w:t>1</w:t>
            </w:r>
          </w:p>
        </w:tc>
        <w:tc>
          <w:tcPr>
            <w:tcW w:w="690" w:type="dxa"/>
            <w:noWrap w:val="0"/>
            <w:vAlign w:val="center"/>
          </w:tcPr>
          <w:p w14:paraId="65F5C6E6">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kern w:val="2"/>
                <w:sz w:val="21"/>
                <w:szCs w:val="21"/>
                <w:highlight w:val="none"/>
              </w:rPr>
              <w:t>套</w:t>
            </w:r>
          </w:p>
        </w:tc>
        <w:tc>
          <w:tcPr>
            <w:tcW w:w="1065" w:type="dxa"/>
            <w:noWrap w:val="0"/>
            <w:vAlign w:val="center"/>
          </w:tcPr>
          <w:p w14:paraId="3C8AF45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b w:val="0"/>
                <w:bCs w:val="0"/>
                <w:color w:val="auto"/>
                <w:kern w:val="2"/>
                <w:sz w:val="21"/>
                <w:szCs w:val="21"/>
                <w:highlight w:val="none"/>
                <w:lang w:val="en-US" w:eastAsia="zh-Hans"/>
              </w:rPr>
              <w:t>工业</w:t>
            </w:r>
          </w:p>
        </w:tc>
      </w:tr>
      <w:tr w14:paraId="6F3B2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5EDC4E5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b w:val="0"/>
                <w:bCs w:val="0"/>
                <w:color w:val="auto"/>
                <w:kern w:val="2"/>
                <w:sz w:val="21"/>
                <w:szCs w:val="21"/>
                <w:highlight w:val="none"/>
              </w:rPr>
              <w:t>4</w:t>
            </w:r>
          </w:p>
        </w:tc>
        <w:tc>
          <w:tcPr>
            <w:tcW w:w="1070" w:type="dxa"/>
            <w:noWrap w:val="0"/>
            <w:vAlign w:val="center"/>
          </w:tcPr>
          <w:p w14:paraId="067F24FF">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sz w:val="21"/>
                <w:szCs w:val="21"/>
                <w:highlight w:val="none"/>
              </w:rPr>
              <w:t>功放</w:t>
            </w:r>
          </w:p>
        </w:tc>
        <w:tc>
          <w:tcPr>
            <w:tcW w:w="6927" w:type="dxa"/>
            <w:noWrap w:val="0"/>
            <w:vAlign w:val="top"/>
          </w:tcPr>
          <w:p w14:paraId="28544EE5">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1、设备接口不低于：五路有线话筒输入、四路音频输入、一路前级音频输出、四组功率输出；电脑、DVD、投影机、影碟机音频信号自动搜索与手动切换，能有效的抑制声反馈；</w:t>
            </w:r>
          </w:p>
          <w:p w14:paraId="56F455C6">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2、独立话筒音量、线路音量、高低音、混响延时调节功能；话筒插口自带6V直流电源，频率响应：20Hz～20KHz；</w:t>
            </w:r>
          </w:p>
          <w:p w14:paraId="1445B28D">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3、话筒：60Hz～14KHz；话筒非线性失真：≤0.2%；</w:t>
            </w:r>
          </w:p>
          <w:p w14:paraId="29701B7D">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sz w:val="21"/>
                <w:szCs w:val="21"/>
                <w:highlight w:val="none"/>
              </w:rPr>
              <w:t>4、信噪比：≥85dB；输出功率：≥2×300W；</w:t>
            </w:r>
          </w:p>
        </w:tc>
        <w:tc>
          <w:tcPr>
            <w:tcW w:w="696" w:type="dxa"/>
            <w:noWrap w:val="0"/>
            <w:vAlign w:val="center"/>
          </w:tcPr>
          <w:p w14:paraId="19CDA78E">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sz w:val="21"/>
                <w:szCs w:val="21"/>
                <w:highlight w:val="none"/>
              </w:rPr>
              <w:t>1</w:t>
            </w:r>
          </w:p>
        </w:tc>
        <w:tc>
          <w:tcPr>
            <w:tcW w:w="690" w:type="dxa"/>
            <w:noWrap w:val="0"/>
            <w:vAlign w:val="center"/>
          </w:tcPr>
          <w:p w14:paraId="55958B22">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kern w:val="2"/>
                <w:sz w:val="21"/>
                <w:szCs w:val="21"/>
                <w:highlight w:val="none"/>
              </w:rPr>
              <w:t>台</w:t>
            </w:r>
          </w:p>
        </w:tc>
        <w:tc>
          <w:tcPr>
            <w:tcW w:w="1065" w:type="dxa"/>
            <w:noWrap w:val="0"/>
            <w:vAlign w:val="center"/>
          </w:tcPr>
          <w:p w14:paraId="53AE84E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b w:val="0"/>
                <w:bCs w:val="0"/>
                <w:color w:val="auto"/>
                <w:kern w:val="2"/>
                <w:sz w:val="21"/>
                <w:szCs w:val="21"/>
                <w:highlight w:val="none"/>
                <w:lang w:val="en-US" w:eastAsia="zh-Hans"/>
              </w:rPr>
              <w:t>工业</w:t>
            </w:r>
          </w:p>
        </w:tc>
      </w:tr>
      <w:tr w14:paraId="228E0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524E9B5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b w:val="0"/>
                <w:bCs w:val="0"/>
                <w:color w:val="auto"/>
                <w:kern w:val="2"/>
                <w:sz w:val="21"/>
                <w:szCs w:val="21"/>
                <w:highlight w:val="none"/>
              </w:rPr>
              <w:t>5</w:t>
            </w:r>
          </w:p>
        </w:tc>
        <w:tc>
          <w:tcPr>
            <w:tcW w:w="1070" w:type="dxa"/>
            <w:noWrap w:val="0"/>
            <w:vAlign w:val="center"/>
          </w:tcPr>
          <w:p w14:paraId="321894A8">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sz w:val="21"/>
                <w:szCs w:val="21"/>
                <w:highlight w:val="none"/>
              </w:rPr>
              <w:t>音箱</w:t>
            </w:r>
          </w:p>
        </w:tc>
        <w:tc>
          <w:tcPr>
            <w:tcW w:w="6927" w:type="dxa"/>
            <w:noWrap w:val="0"/>
            <w:vAlign w:val="top"/>
          </w:tcPr>
          <w:p w14:paraId="1E0B211D">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1、采用优质单元喇叭，强劲的功率输出，卓越的音质和完善的保护功能。适用于各类教室、会议室、多功能厅</w:t>
            </w:r>
          </w:p>
          <w:p w14:paraId="370F329E">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2、输出功率：100～200W</w:t>
            </w:r>
          </w:p>
          <w:p w14:paraId="3D0FA324">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3、阻抗：8Ω</w:t>
            </w:r>
          </w:p>
          <w:p w14:paraId="58123065">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4、灵敏度：101dB</w:t>
            </w:r>
          </w:p>
          <w:p w14:paraId="74C12800">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5、频率响应：50Hz～20KHz</w:t>
            </w:r>
          </w:p>
          <w:p w14:paraId="579925FB">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6、单元规格：低音：8英寸，高音：3英寸×2。</w:t>
            </w:r>
          </w:p>
          <w:p w14:paraId="153651B3">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sz w:val="21"/>
                <w:szCs w:val="21"/>
                <w:highlight w:val="none"/>
              </w:rPr>
              <w:t>7、数量：4只</w:t>
            </w:r>
          </w:p>
        </w:tc>
        <w:tc>
          <w:tcPr>
            <w:tcW w:w="696" w:type="dxa"/>
            <w:noWrap w:val="0"/>
            <w:vAlign w:val="center"/>
          </w:tcPr>
          <w:p w14:paraId="766870CA">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sz w:val="21"/>
                <w:szCs w:val="21"/>
                <w:highlight w:val="none"/>
              </w:rPr>
              <w:t>1</w:t>
            </w:r>
          </w:p>
        </w:tc>
        <w:tc>
          <w:tcPr>
            <w:tcW w:w="690" w:type="dxa"/>
            <w:noWrap w:val="0"/>
            <w:vAlign w:val="center"/>
          </w:tcPr>
          <w:p w14:paraId="17A74352">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kern w:val="2"/>
                <w:sz w:val="21"/>
                <w:szCs w:val="21"/>
                <w:highlight w:val="none"/>
              </w:rPr>
              <w:t>套</w:t>
            </w:r>
          </w:p>
        </w:tc>
        <w:tc>
          <w:tcPr>
            <w:tcW w:w="1065" w:type="dxa"/>
            <w:noWrap w:val="0"/>
            <w:vAlign w:val="center"/>
          </w:tcPr>
          <w:p w14:paraId="5D91E42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b w:val="0"/>
                <w:bCs w:val="0"/>
                <w:color w:val="auto"/>
                <w:kern w:val="2"/>
                <w:sz w:val="21"/>
                <w:szCs w:val="21"/>
                <w:highlight w:val="none"/>
                <w:lang w:val="en-US" w:eastAsia="zh-Hans"/>
              </w:rPr>
              <w:t>工业</w:t>
            </w:r>
          </w:p>
        </w:tc>
      </w:tr>
      <w:tr w14:paraId="7DC1E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5D87F37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rPr>
              <w:t>6</w:t>
            </w:r>
          </w:p>
        </w:tc>
        <w:tc>
          <w:tcPr>
            <w:tcW w:w="1070" w:type="dxa"/>
            <w:noWrap w:val="0"/>
            <w:vAlign w:val="center"/>
          </w:tcPr>
          <w:p w14:paraId="6DF8F57E">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sz w:val="21"/>
                <w:szCs w:val="21"/>
                <w:highlight w:val="none"/>
              </w:rPr>
              <w:t>无线领夹式麦克风</w:t>
            </w:r>
          </w:p>
        </w:tc>
        <w:tc>
          <w:tcPr>
            <w:tcW w:w="6927" w:type="dxa"/>
            <w:noWrap w:val="0"/>
            <w:vAlign w:val="top"/>
          </w:tcPr>
          <w:p w14:paraId="67113942">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1、频率范围：50Hz～20KHz；最大SPL（麦克风）：100分贝（1KHz@1m）dBu；</w:t>
            </w:r>
          </w:p>
          <w:p w14:paraId="0C7F7551">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2、最大输入电平（3.5mm）：-20dBV，麦克风前置放大器增益：20dB，等效噪声级：22dBa；</w:t>
            </w:r>
          </w:p>
          <w:p w14:paraId="2A4BDF62">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3、内置锂电池；</w:t>
            </w:r>
          </w:p>
          <w:p w14:paraId="09DFA397">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4、模拟输入：3.5mm接口；</w:t>
            </w:r>
          </w:p>
          <w:p w14:paraId="5B327503">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5、模拟输出：3.5mm接口；</w:t>
            </w:r>
          </w:p>
          <w:p w14:paraId="76F7707C">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6、有效范围：≥200米；</w:t>
            </w:r>
          </w:p>
          <w:p w14:paraId="62BDBDDA">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sz w:val="21"/>
                <w:szCs w:val="21"/>
                <w:highlight w:val="none"/>
              </w:rPr>
              <w:t>7、一拖二配置，配备领夹式麦克风二只，3.5mm转XLR3芯转接线一条。</w:t>
            </w:r>
          </w:p>
        </w:tc>
        <w:tc>
          <w:tcPr>
            <w:tcW w:w="696" w:type="dxa"/>
            <w:noWrap w:val="0"/>
            <w:vAlign w:val="center"/>
          </w:tcPr>
          <w:p w14:paraId="30300EB4">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sz w:val="21"/>
                <w:szCs w:val="21"/>
                <w:highlight w:val="none"/>
              </w:rPr>
              <w:t>2</w:t>
            </w:r>
          </w:p>
        </w:tc>
        <w:tc>
          <w:tcPr>
            <w:tcW w:w="690" w:type="dxa"/>
            <w:noWrap w:val="0"/>
            <w:vAlign w:val="center"/>
          </w:tcPr>
          <w:p w14:paraId="65517A1A">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kern w:val="2"/>
                <w:sz w:val="21"/>
                <w:szCs w:val="21"/>
                <w:highlight w:val="none"/>
              </w:rPr>
              <w:t>套</w:t>
            </w:r>
          </w:p>
        </w:tc>
        <w:tc>
          <w:tcPr>
            <w:tcW w:w="1065" w:type="dxa"/>
            <w:noWrap w:val="0"/>
            <w:vAlign w:val="center"/>
          </w:tcPr>
          <w:p w14:paraId="3E2E3FD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b w:val="0"/>
                <w:bCs w:val="0"/>
                <w:color w:val="auto"/>
                <w:kern w:val="2"/>
                <w:sz w:val="21"/>
                <w:szCs w:val="21"/>
                <w:highlight w:val="none"/>
                <w:lang w:val="en-US" w:eastAsia="zh-Hans"/>
              </w:rPr>
              <w:t>工业</w:t>
            </w:r>
          </w:p>
        </w:tc>
      </w:tr>
      <w:tr w14:paraId="546ED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4318D68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rPr>
              <w:t>7</w:t>
            </w:r>
          </w:p>
        </w:tc>
        <w:tc>
          <w:tcPr>
            <w:tcW w:w="1070" w:type="dxa"/>
            <w:noWrap w:val="0"/>
            <w:vAlign w:val="center"/>
          </w:tcPr>
          <w:p w14:paraId="6F4784AE">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sz w:val="21"/>
                <w:szCs w:val="21"/>
                <w:highlight w:val="none"/>
              </w:rPr>
              <w:t>一拖二无线话筒</w:t>
            </w:r>
          </w:p>
        </w:tc>
        <w:tc>
          <w:tcPr>
            <w:tcW w:w="6927" w:type="dxa"/>
            <w:noWrap w:val="0"/>
            <w:vAlign w:val="top"/>
          </w:tcPr>
          <w:p w14:paraId="31B7A754">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1、射频范围：740MHz---790MHz；</w:t>
            </w:r>
          </w:p>
          <w:p w14:paraId="0B1168AA">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2、振荡方式：PLL；</w:t>
            </w:r>
          </w:p>
          <w:p w14:paraId="04413017">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3、偏移度：±48KHz；</w:t>
            </w:r>
          </w:p>
          <w:p w14:paraId="2112C49B">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4、频道宽度：250KHz；</w:t>
            </w:r>
          </w:p>
          <w:p w14:paraId="05BFADCC">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5、动态范围：≥100dB；</w:t>
            </w:r>
          </w:p>
          <w:p w14:paraId="1FE6B879">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6、综合信噪比：＞105dB；综合失真：≤0.5%；</w:t>
            </w:r>
          </w:p>
          <w:p w14:paraId="620FF22F">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、频率响应：40Hz～18KHz±3dB；</w:t>
            </w:r>
          </w:p>
          <w:p w14:paraId="4464DEED">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、自带无线充电器，方便话筒充电。</w:t>
            </w:r>
          </w:p>
          <w:p w14:paraId="282D4858">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接收机</w:t>
            </w:r>
          </w:p>
          <w:p w14:paraId="7BE7257E">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1、接收方式：自动选讯接收；</w:t>
            </w:r>
          </w:p>
          <w:p w14:paraId="1CE548B8">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2、灵敏度：5dBuv；</w:t>
            </w:r>
          </w:p>
          <w:p w14:paraId="7375EECD">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3、谐波干扰比：＞80dB；假象干扰比：＞70dB。</w:t>
            </w:r>
          </w:p>
          <w:p w14:paraId="7671442F">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手持式话筒</w:t>
            </w:r>
          </w:p>
          <w:p w14:paraId="1E2B782A">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1、发射功率：30mW；</w:t>
            </w:r>
          </w:p>
          <w:p w14:paraId="1B863B72">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2、振荡方式：PLL</w:t>
            </w:r>
          </w:p>
          <w:p w14:paraId="6801ABB9">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3、上限输入声压：130dB；</w:t>
            </w:r>
          </w:p>
          <w:p w14:paraId="224EEFA6">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4、麦克风音头 ： 动圈式 / 电容式；</w:t>
            </w:r>
          </w:p>
          <w:p w14:paraId="4B45F091">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5、电源：内置锂离子电池；</w:t>
            </w:r>
          </w:p>
          <w:p w14:paraId="489F78E9">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sz w:val="21"/>
                <w:szCs w:val="21"/>
                <w:highlight w:val="none"/>
              </w:rPr>
              <w:t>6、音头指向性 ：心型指向。</w:t>
            </w:r>
          </w:p>
        </w:tc>
        <w:tc>
          <w:tcPr>
            <w:tcW w:w="696" w:type="dxa"/>
            <w:noWrap w:val="0"/>
            <w:vAlign w:val="center"/>
          </w:tcPr>
          <w:p w14:paraId="49669D27">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sz w:val="21"/>
                <w:szCs w:val="21"/>
                <w:highlight w:val="none"/>
              </w:rPr>
              <w:t>4</w:t>
            </w:r>
          </w:p>
        </w:tc>
        <w:tc>
          <w:tcPr>
            <w:tcW w:w="690" w:type="dxa"/>
            <w:noWrap w:val="0"/>
            <w:vAlign w:val="center"/>
          </w:tcPr>
          <w:p w14:paraId="1FEE3FA7">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kern w:val="2"/>
                <w:sz w:val="21"/>
                <w:szCs w:val="21"/>
                <w:highlight w:val="none"/>
              </w:rPr>
              <w:t>套</w:t>
            </w:r>
          </w:p>
        </w:tc>
        <w:tc>
          <w:tcPr>
            <w:tcW w:w="1065" w:type="dxa"/>
            <w:noWrap w:val="0"/>
            <w:vAlign w:val="center"/>
          </w:tcPr>
          <w:p w14:paraId="02179E0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b w:val="0"/>
                <w:bCs w:val="0"/>
                <w:color w:val="auto"/>
                <w:kern w:val="2"/>
                <w:sz w:val="21"/>
                <w:szCs w:val="21"/>
                <w:highlight w:val="none"/>
                <w:lang w:val="en-US" w:eastAsia="zh-Hans"/>
              </w:rPr>
              <w:t>工业</w:t>
            </w:r>
          </w:p>
        </w:tc>
      </w:tr>
      <w:tr w14:paraId="2D31A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1B16C81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rPr>
              <w:t>8</w:t>
            </w:r>
          </w:p>
        </w:tc>
        <w:tc>
          <w:tcPr>
            <w:tcW w:w="1070" w:type="dxa"/>
            <w:noWrap w:val="0"/>
            <w:vAlign w:val="center"/>
          </w:tcPr>
          <w:p w14:paraId="38FC779B">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sz w:val="21"/>
                <w:szCs w:val="21"/>
                <w:highlight w:val="none"/>
              </w:rPr>
              <w:t>物业仿真实训设备设施</w:t>
            </w:r>
          </w:p>
        </w:tc>
        <w:tc>
          <w:tcPr>
            <w:tcW w:w="6927" w:type="dxa"/>
            <w:noWrap w:val="0"/>
            <w:vAlign w:val="top"/>
          </w:tcPr>
          <w:p w14:paraId="4A0A568F">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b/>
                <w:bCs/>
                <w:color w:val="auto"/>
                <w:sz w:val="21"/>
                <w:szCs w:val="21"/>
                <w:highlight w:val="none"/>
              </w:rPr>
              <w:t>A.电梯控制技术实训装置</w:t>
            </w:r>
          </w:p>
          <w:p w14:paraId="0781B2E1">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1、采用槽钢方管框架结构整体设计，正面使用不锈钢面板，融低压电气、PLC、变频调速系统等于一体，实现电梯复杂控制。</w:t>
            </w:r>
          </w:p>
          <w:p w14:paraId="1D74EA17">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2、按照实际电梯缩小比例设计，包含电梯全部要素，电梯为三层，高度约2米。</w:t>
            </w:r>
          </w:p>
          <w:p w14:paraId="4F895A87">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3、透明结构设计，电梯内部结构、运行过程一目了然。使学生能够很直观、透彻地了解、掌握电梯的结构及其动作原理。</w:t>
            </w:r>
          </w:p>
          <w:p w14:paraId="48702BC7">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4、设备为单座三层群控电梯，电梯系统由一台PLC控制，接近现实中的楼宇电梯控制。学生通过本装置实训，可以练习单座电梯控制、提高故障的检测和排除能力。</w:t>
            </w:r>
          </w:p>
          <w:p w14:paraId="7C4BFF09">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5、电梯具有机械故障设置方式，方便用户操作。</w:t>
            </w:r>
          </w:p>
          <w:p w14:paraId="1050F30C">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6、输入电源：三相五线制 AC220V±10%  50Hz；</w:t>
            </w:r>
          </w:p>
          <w:p w14:paraId="7CCA352A">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7、工作环境：温度-10℃～+40℃ 相对湿度＜85%（25℃） 海拔＜4000m；</w:t>
            </w:r>
          </w:p>
          <w:p w14:paraId="0680C9EA">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8、装机容量：＜1kVA；</w:t>
            </w:r>
          </w:p>
          <w:p w14:paraId="15412966">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9、整机尺寸：2400mm×600mm×2000mm；</w:t>
            </w:r>
          </w:p>
          <w:p w14:paraId="665E4227">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10、单台电梯尺寸：600mm×600mm×2000mm；</w:t>
            </w:r>
          </w:p>
          <w:p w14:paraId="7E92DFC7">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11、控制方式：开关量/数字量双控及VVVF技术；</w:t>
            </w:r>
          </w:p>
          <w:p w14:paraId="23D80D13">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12、安全保护措施：具有接地保护、漏电保护功能，安全性符合相关的国标标准。</w:t>
            </w:r>
          </w:p>
          <w:p w14:paraId="3776B6F9">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13、智能电梯由电梯控制柜和电梯模型组成，能实现按钮控制、信号控制、集选控制等功能。</w:t>
            </w:r>
          </w:p>
          <w:p w14:paraId="176FDC89">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14、电梯模型：包含驱动装置、轿厢及对重装置、导向系统、门机机构、安全保护机构等组成。驱动装置由曳引机（带有制动器、减速机、导向轮、工业编码器）、曳引钢丝绳和绳头组合等部件组成；导向系统由井道钢架、导轨、导靴等组成；门机机构由轿门、层门、开关门机构、安全触板、门套等部件组成；安全保护机构由超载装置、缓冲器、安全钳、限速保护装置等部件组成。</w:t>
            </w:r>
          </w:p>
          <w:p w14:paraId="6249F5A9">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15、电梯电气控制柜：包含可编程控制器、变频器、低压电气（继电器、接触器、热继电器、相序保护器）、智能考核系统等组成部分。</w:t>
            </w:r>
          </w:p>
          <w:p w14:paraId="5C21E122">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16、可编程序控制器控制电梯的运行状态，根据呼叫信号，对电梯的位置进行逻辑判断，然后给出运行指令，使电梯实现应答呼梯信号、自动关门等功能。</w:t>
            </w:r>
          </w:p>
          <w:p w14:paraId="6B0B8D60">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17、安全及门锁回路：由继电器回路组成，急停、门锁开关的通断决定安全及门锁回路的正常与否，以使PLC判断电梯是否处于安全状态。</w:t>
            </w:r>
          </w:p>
          <w:p w14:paraId="3410062D">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18、考核系统：电梯具有手动故障设置模式。</w:t>
            </w:r>
          </w:p>
          <w:p w14:paraId="09AB8153">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B.消防联动控制中心及喷淋灭火系统实训装置</w:t>
            </w:r>
          </w:p>
          <w:p w14:paraId="16785265">
            <w:pPr>
              <w:keepNext w:val="0"/>
              <w:keepLines w:val="0"/>
              <w:pageBreakBefore w:val="0"/>
              <w:widowControl w:val="0"/>
              <w:kinsoku/>
              <w:wordWrap/>
              <w:overflowPunct/>
              <w:topLinePunct w:val="0"/>
              <w:autoSpaceDE/>
              <w:autoSpaceDN/>
              <w:bidi w:val="0"/>
              <w:spacing w:after="120" w:afterLines="0" w:line="280" w:lineRule="exact"/>
              <w:ind w:firstLine="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一、消防联动控制中心及喷淋灭火系统</w:t>
            </w:r>
          </w:p>
          <w:p w14:paraId="60B89D15">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1、喷淋灭火系统配置</w:t>
            </w:r>
          </w:p>
          <w:p w14:paraId="5E6A82F6">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1）模型框架和水箱等主要部件全部使用不锈钢器件，模拟两层大楼喷淋灭火系统；模型系统主要由喷淋水泵、气压罐、湿式报警阀、水力警铃、延时器、压力开关、水流指示器、封闭式喷头、试验阀、火灾探测器、火灾报警器等典型喷水灭火设备构成，能模拟大楼内水灭火系统的典型结构。 </w:t>
            </w:r>
          </w:p>
          <w:p w14:paraId="3D600955">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（2）喷淋水泵：数量1台,功率≥750W,扬程：≥28米,流量：3立方米/小时；</w:t>
            </w:r>
          </w:p>
          <w:p w14:paraId="2C8D4D38">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（3）高位水泵模拟气压罐：数量1台,容积≥50升,功率≥750W,扬程：≥30米,气压≥0.3MP；</w:t>
            </w:r>
          </w:p>
          <w:p w14:paraId="752684CF">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（4）湿式报警阀：数量1台,口径：φ100mm,额定工作压力≥1.2MPa；</w:t>
            </w:r>
          </w:p>
          <w:p w14:paraId="1E3F15C3">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（5）玻璃球喷头：数量≥6个68℃温级</w:t>
            </w:r>
          </w:p>
          <w:p w14:paraId="14004084">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（6）水流指示器：数量≥2个灵敏度15L-37.5L/min</w:t>
            </w:r>
          </w:p>
          <w:p w14:paraId="3A1307E1">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（7）感烟探测器：1个，总线编码型，报警电流≤2mA普通烟雾体浓度等级</w:t>
            </w:r>
          </w:p>
          <w:p w14:paraId="3345E2D8">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（8）感烟探测器：1个，非总线型，报警电流≤2mA普通烟雾体浓度等级</w:t>
            </w:r>
          </w:p>
          <w:p w14:paraId="22E07BFF">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（9）感温探测器：1个非总线型，报警电流≤2mA、68℃温级</w:t>
            </w:r>
          </w:p>
          <w:p w14:paraId="2B3AC83D">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（10）感温探测器：1个总线编码型，报警电流≤2mA、68℃温级</w:t>
            </w:r>
          </w:p>
          <w:p w14:paraId="5FCA7947">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（11）气体探测器1个，总线型、报警电流≤2mA</w:t>
            </w:r>
          </w:p>
          <w:p w14:paraId="768E2397">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2、电源控制屏提供交流电源：单相交流电220V，50Hz，带有过流保护</w:t>
            </w:r>
          </w:p>
          <w:p w14:paraId="1AB3A31D">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3、火灾报警控制器（联动型）</w:t>
            </w:r>
          </w:p>
          <w:p w14:paraId="38B123F4">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（1）采用≥192×64点阵液晶显示，可同屏显示≥4行12列汉字信息；</w:t>
            </w:r>
          </w:p>
          <w:p w14:paraId="2FBFDCE6">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（2）可以现场编辑总线设备的区、层、状态、类型、安装位置等信息；</w:t>
            </w:r>
          </w:p>
          <w:p w14:paraId="5B93ECEB">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（3）≥256条事件记录，记录控制器运行中的各种事件，可随时查阅；</w:t>
            </w:r>
          </w:p>
          <w:p w14:paraId="3A07AAEB">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（4）可以现场编辑联动公式；</w:t>
            </w:r>
          </w:p>
          <w:p w14:paraId="1848371C">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（5）1个总线回路，可连接254个现场器件；</w:t>
            </w:r>
          </w:p>
          <w:p w14:paraId="73B8E5C7">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4、火灾显示盘与火灾报警控制器联网，采用≥192×64点阵液晶实时显示本楼层的各种事件信息</w:t>
            </w:r>
          </w:p>
          <w:p w14:paraId="1C114DA2">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5、配备可燃气体探测器、智能光电感烟探测器和差定温火灾探测器等三种探测器。</w:t>
            </w:r>
          </w:p>
          <w:p w14:paraId="1F25B9A8">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6、输入模块、控制模块输入模块主要用于压力开关等信号检测，控制模块主要用于控制排烟阀、送风阀、卷帘门等设备</w:t>
            </w:r>
          </w:p>
          <w:p w14:paraId="4CF7C19C">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7、联动盘现场接口</w:t>
            </w:r>
          </w:p>
          <w:p w14:paraId="32B65E0C">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（1）三线控制，接线部分简洁方便，轻松实现启停回答功能；</w:t>
            </w:r>
          </w:p>
          <w:p w14:paraId="71F6C2B7">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（2）两种输出控制方式可供选择，电平输出和脉冲输出。</w:t>
            </w:r>
          </w:p>
          <w:p w14:paraId="628D25C2">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8、手动报警按钮：火灾发生时，按下有机玻璃片，按钮的火警灯点亮，同时向控制器发出火警信号；</w:t>
            </w:r>
          </w:p>
          <w:p w14:paraId="20E8817A">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9、包含消防栓按钮、声光报警器、警铃、电子编码器、广播录放单元、消防广播录放机、广播吸顶喇叭、功放单元、消防定压功放，背景音源功放。</w:t>
            </w:r>
          </w:p>
          <w:p w14:paraId="7C1A064E">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10、消防电话系统：总线电话通讯盘，电话分机，电话模块等。</w:t>
            </w:r>
          </w:p>
          <w:p w14:paraId="48D89559">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★11、智能消防云端服务系统</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需包含</w:t>
            </w:r>
            <w:r>
              <w:rPr>
                <w:rFonts w:hint="eastAsia" w:ascii="宋体" w:hAnsi="宋体" w:cs="宋体"/>
                <w:color w:val="auto"/>
                <w:sz w:val="21"/>
                <w:szCs w:val="21"/>
                <w:highlight w:val="none"/>
              </w:rPr>
              <w:t>数据云系统上传通过WIFI，MODBUS协议，及网络连接界面实现与专业教学设备云后台连接。传感器数据上传和下发双向控制。</w:t>
            </w:r>
            <w:r>
              <w:rPr>
                <w:rFonts w:hint="eastAsia" w:ascii="宋体" w:hAnsi="宋体" w:cs="宋体"/>
                <w:color w:val="auto"/>
                <w:sz w:val="21"/>
                <w:szCs w:val="21"/>
                <w:highlight w:val="none"/>
                <w:lang w:val="en-US" w:eastAsia="zh-CN"/>
              </w:rPr>
              <w:t>需具有</w:t>
            </w:r>
            <w:r>
              <w:rPr>
                <w:rFonts w:hint="eastAsia" w:ascii="宋体" w:hAnsi="宋体" w:cs="宋体"/>
                <w:color w:val="auto"/>
                <w:sz w:val="21"/>
                <w:szCs w:val="21"/>
                <w:highlight w:val="none"/>
              </w:rPr>
              <w:t>云数据监控：手机可APP扫码远程同步监控，也可PC登录云管理及监控和下发控制数据。平台具有监控中心管理、设备管理、设备地图位置设置、云组态、云触发器、定时任务、实时计算、数据分析、数据下载、AI报表、边缘计算机、流量卡用户中心等管理</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需支持</w:t>
            </w:r>
            <w:r>
              <w:rPr>
                <w:rFonts w:hint="eastAsia" w:ascii="宋体" w:hAnsi="宋体" w:cs="宋体"/>
                <w:color w:val="auto"/>
                <w:sz w:val="21"/>
                <w:szCs w:val="21"/>
                <w:highlight w:val="none"/>
              </w:rPr>
              <w:t>可以通过云远程设置开关，可控制8路远程开关、远程控制现场设备，如灯光、风机、报警灯等，并可以增设多路远程控制和监控。</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需支持</w:t>
            </w:r>
            <w:r>
              <w:rPr>
                <w:rFonts w:hint="eastAsia" w:ascii="宋体" w:hAnsi="宋体" w:cs="宋体"/>
                <w:color w:val="auto"/>
                <w:sz w:val="21"/>
                <w:szCs w:val="21"/>
                <w:highlight w:val="none"/>
              </w:rPr>
              <w:t>下发不小于4路双向控制可变数据,并可在云端任意添加情景触发控制。可增设多路下发数据控制点。可上传不小于8路传感器信号数据，并可在云端任意添加情景触发控制。可增设多路传感器数据控制点。具有2次开发功能。(提供满足参数的功能截图不少于8张)</w:t>
            </w:r>
          </w:p>
          <w:p w14:paraId="5D9DAEAE">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12、系统组成</w:t>
            </w:r>
          </w:p>
          <w:p w14:paraId="1CD8798F">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（1）网关控制器（1个）</w:t>
            </w:r>
          </w:p>
          <w:p w14:paraId="71176ECF">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微处理器：32位ARM高速处理器，72MHZ</w:t>
            </w:r>
          </w:p>
          <w:p w14:paraId="723197CE">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供电电压：7-30VDC@3W,电源反接保护，隔离设计；</w:t>
            </w:r>
          </w:p>
          <w:p w14:paraId="73E17EE0">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通道接入点：可接8DI\8DO\8AI\4AO</w:t>
            </w:r>
          </w:p>
          <w:p w14:paraId="4661704A">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通讯协议：MODBUS/TP/TCP/RS232</w:t>
            </w:r>
          </w:p>
          <w:p w14:paraId="4A6798AE">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（2）电压传感器（1个）</w:t>
            </w:r>
          </w:p>
          <w:p w14:paraId="5E8670F1">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检测范围：AC20-1000V/DC20MA-1000V</w:t>
            </w:r>
          </w:p>
          <w:p w14:paraId="361E45D5">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信号类型：4-20MA/0-20MA/0-50V</w:t>
            </w:r>
          </w:p>
          <w:p w14:paraId="63E177F9">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供电：DC24V/DC12V</w:t>
            </w:r>
          </w:p>
          <w:p w14:paraId="175CF541">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（3）电流传感器（1个）</w:t>
            </w:r>
          </w:p>
          <w:p w14:paraId="6FC9BBF1">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检测范围：500MA-100A/</w:t>
            </w:r>
          </w:p>
          <w:p w14:paraId="74D2E38D">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信号类型：4-20MA/0-20MA/0-50V</w:t>
            </w:r>
          </w:p>
          <w:p w14:paraId="632C5CA0">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供电：DC24V/DC12V</w:t>
            </w:r>
          </w:p>
          <w:p w14:paraId="5EF01308">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（4）温度传感器</w:t>
            </w:r>
          </w:p>
          <w:p w14:paraId="72A5F98E">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温度：（-40°C）～ （+60°C）；±0.5°</w:t>
            </w:r>
          </w:p>
          <w:p w14:paraId="458AEE8F">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湿度：0 to 100% RH；±3.5%RH；</w:t>
            </w:r>
          </w:p>
          <w:p w14:paraId="208D71ED">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功耗：3W</w:t>
            </w:r>
          </w:p>
          <w:p w14:paraId="57234703">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范围：0-100°C</w:t>
            </w:r>
          </w:p>
          <w:p w14:paraId="192CB9D7">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（5）湿度传感器</w:t>
            </w:r>
          </w:p>
          <w:p w14:paraId="54F7F38F">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温度：（-40°C）～ （+123.8°C）；±0.5°C@25°C</w:t>
            </w:r>
          </w:p>
          <w:p w14:paraId="1B772D73">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湿度：0 to 100% RH；±3.5%RH；</w:t>
            </w:r>
          </w:p>
          <w:p w14:paraId="113C14B2">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范围：0-100%</w:t>
            </w:r>
          </w:p>
          <w:p w14:paraId="1773F38D">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（6）光照传感器</w:t>
            </w:r>
          </w:p>
          <w:p w14:paraId="03C48B2A">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参数测量范围：0～10000LUX</w:t>
            </w:r>
          </w:p>
          <w:p w14:paraId="21DEE668">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测量波长：模拟全光谱</w:t>
            </w:r>
          </w:p>
          <w:p w14:paraId="49F6BB06">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（7）压力传感器</w:t>
            </w:r>
          </w:p>
          <w:p w14:paraId="7EF07FE2">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参数测量范围：0～100KPA</w:t>
            </w:r>
          </w:p>
          <w:p w14:paraId="0E0036BB">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精度；小数2位（±5%）</w:t>
            </w:r>
          </w:p>
          <w:p w14:paraId="337A62C5">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（8）流量传感器</w:t>
            </w:r>
          </w:p>
          <w:p w14:paraId="1C5112E1">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参数测量范围：0～10T/H</w:t>
            </w:r>
          </w:p>
          <w:p w14:paraId="6F8E3421">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精度；（±5%）</w:t>
            </w:r>
          </w:p>
          <w:p w14:paraId="7606291E">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（9）水位传感器</w:t>
            </w:r>
          </w:p>
          <w:p w14:paraId="51CF60B6">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测量范围：0～100MM</w:t>
            </w:r>
          </w:p>
          <w:p w14:paraId="427D0030">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精度；（±5%）</w:t>
            </w:r>
          </w:p>
          <w:p w14:paraId="714E4AE5">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（10）继电器、LED灯光</w:t>
            </w:r>
          </w:p>
          <w:p w14:paraId="2FE64163">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通道数：DI通道接入量8个</w:t>
            </w:r>
          </w:p>
          <w:p w14:paraId="575199CA">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执行量：DO通道输出量8个</w:t>
            </w:r>
          </w:p>
          <w:p w14:paraId="7AC6CA71">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灯光控制：LED灯光8个</w:t>
            </w:r>
          </w:p>
          <w:p w14:paraId="704A175D">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（11）终端监控</w:t>
            </w:r>
          </w:p>
          <w:p w14:paraId="196A83EC">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供电：DC24V（±5%）</w:t>
            </w:r>
          </w:p>
          <w:p w14:paraId="66D56C6B">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端口：RS485/USB</w:t>
            </w:r>
          </w:p>
          <w:p w14:paraId="616A36DB">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网络：TCP/TP口1个</w:t>
            </w:r>
          </w:p>
          <w:p w14:paraId="68D2084A">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显示大小：7寸电容触控</w:t>
            </w:r>
          </w:p>
          <w:p w14:paraId="04D2D403">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13、输入电源：单相三线～220V±10% 50Hz</w:t>
            </w:r>
          </w:p>
          <w:p w14:paraId="42CCFDDE">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14、装置容量：＜3000VA</w:t>
            </w:r>
          </w:p>
          <w:p w14:paraId="425FC092">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15、外形参考尺寸：4000mm×750mm×2000mm</w:t>
            </w:r>
          </w:p>
          <w:p w14:paraId="03EEEDA0">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16、安全保护：具有漏电自动保护装置</w:t>
            </w:r>
          </w:p>
          <w:p w14:paraId="1E0F5D14">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二、视频监控系统实训装置</w:t>
            </w:r>
          </w:p>
          <w:p w14:paraId="6EB8CC46">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1、装置组成：开放式和拆装式结构设计，采用铝合金型材+网孔板结构，桌面为防火防水板，耐磨高密度板，配有常用电源控制柜，能对各系统进行供电、接线、调试运行和维护实训和考核。</w:t>
            </w:r>
          </w:p>
          <w:p w14:paraId="4BB3A3AD">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2、系统模块由视频监控板块、视频视区模块、防盗监测模块、智能考核等组成，能够体验监控系统与防范系统的原理与操作、接线。</w:t>
            </w:r>
          </w:p>
          <w:p w14:paraId="1EC1534B">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3、无线故障考核软件</w:t>
            </w:r>
          </w:p>
          <w:p w14:paraId="6D29B0E7">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（1）系统功能：可实现故障设置、故障模拟、学员考核与评分、故障排除等功能。</w:t>
            </w:r>
          </w:p>
          <w:p w14:paraId="69D383DC">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（2）可通过 PC 控制终端进行实训考核，也可通过手持移动控制终端进行实训考核，可自由设定任意一处与电控模块引脚有关的各种常见故障，故障类型包括：线路断路、对地短路、接触不良，偶发等故障现象。</w:t>
            </w:r>
          </w:p>
          <w:p w14:paraId="0A44BB79">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（3）所有配备驱动模块的实训设备，均可通过内置的专用新型无线数据传输模块无线组网，实现远程集中管理。</w:t>
            </w:r>
          </w:p>
          <w:p w14:paraId="6B085047">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（4）可选择通过无线或 RS-232 串口通讯与其它实训设备配套的无线故障设置控制系统组成一个网络，系统可以联机考核也可以脱机考核，通过主控计算机控制每一台实训设备的故障设置、故障排除、参数设定、远程启动、信息反馈、考核评分等功能。</w:t>
            </w:r>
          </w:p>
          <w:p w14:paraId="5A832F4E">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4、主机功能</w:t>
            </w:r>
          </w:p>
          <w:p w14:paraId="4AE925CC">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（1）所有通道都支持双码流压缩</w:t>
            </w:r>
          </w:p>
          <w:p w14:paraId="0025D9B4">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（2）所有通道的视频编码参数独立可调，包括分辨率、帧率、码率、图像质量等。 </w:t>
            </w:r>
          </w:p>
          <w:p w14:paraId="63C48029">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（3）所有通道支持定时和事件两套压缩参数，并可本地配置子码流压缩参数。 </w:t>
            </w:r>
          </w:p>
          <w:p w14:paraId="772FB758">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（4）支持复合流和视频流编码，复合流编码时音频和视频同步。 </w:t>
            </w:r>
          </w:p>
          <w:p w14:paraId="2C2A6182">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防盗报警部分：配合主被动式红外探头进行布防，安装报警主机，若有人越入，探头即自动感应，触发报警，主机显示报警部位，同时联动相应的探照灯和摄像机，并在主机上自动切换成报警摄像画面，报警中心监控用计算机弹出电子地图并做报警记录，提示操作人员处理。</w:t>
            </w:r>
          </w:p>
          <w:p w14:paraId="548E9A71">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6、系统技术指标：</w:t>
            </w:r>
          </w:p>
          <w:p w14:paraId="21FB405D">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（1）工作电压：单相三线220V±5%  50Hz</w:t>
            </w:r>
          </w:p>
          <w:p w14:paraId="0EDA1C93">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（2）整机容量：＜300W</w:t>
            </w:r>
          </w:p>
          <w:p w14:paraId="24C9D760">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（3）外形尺寸：≤1600×700×1800mm</w:t>
            </w:r>
          </w:p>
          <w:p w14:paraId="5B0ADB49">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（4）安全保护：具有漏电自动保护装置。</w:t>
            </w:r>
          </w:p>
          <w:p w14:paraId="26EBAAE1">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（5）故障设置：具有故障设置系统。</w:t>
            </w:r>
          </w:p>
          <w:p w14:paraId="247E076C">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C.通风排烟系统考核培训装置</w:t>
            </w:r>
          </w:p>
          <w:p w14:paraId="77DE50CA">
            <w:pPr>
              <w:keepNext w:val="0"/>
              <w:keepLines w:val="0"/>
              <w:pageBreakBefore w:val="0"/>
              <w:widowControl w:val="0"/>
              <w:kinsoku/>
              <w:wordWrap/>
              <w:overflowPunct/>
              <w:topLinePunct w:val="0"/>
              <w:autoSpaceDE/>
              <w:autoSpaceDN/>
              <w:bidi w:val="0"/>
              <w:spacing w:after="120" w:afterLines="0" w:line="280" w:lineRule="exact"/>
              <w:ind w:firstLine="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一、通风排烟系统</w:t>
            </w:r>
          </w:p>
          <w:p w14:paraId="08A4953F">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1、模拟排烟系统：消防排烟系统由风机、风管、自动排烟阀、防火阀、连接控制柜以及联动控制中心等组成</w:t>
            </w:r>
          </w:p>
          <w:p w14:paraId="031791DE">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2、加压送风机采用多翼式离心风机</w:t>
            </w:r>
          </w:p>
          <w:p w14:paraId="600AEBAF">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3、加压送送管道采用不燃材料制作，加压送风口和用常闭式，采用手动或电动开启控制方式，</w:t>
            </w:r>
          </w:p>
          <w:p w14:paraId="1727CEBC">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4、排烟防火阀由控制执行器、镀锌钢板制作而成。</w:t>
            </w:r>
          </w:p>
          <w:p w14:paraId="0F8DB05A">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5、排烟风机采用轴流风机，能在280度条件下工作不小于30Min</w:t>
            </w:r>
          </w:p>
          <w:p w14:paraId="35F47E4C">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6、排烟防火阀。安装在机械排烟设施的管道上，平时呈开启状态，火灾时当排管道内温度达到280度时关闭。</w:t>
            </w:r>
          </w:p>
          <w:p w14:paraId="13D2C594">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7、排烟口安装在机械排烟风管上作为烟气吸入口中，平时呈关闭状态。火灾时需要排烟时手动或电动打开</w:t>
            </w:r>
          </w:p>
          <w:p w14:paraId="3221E74D">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★8、实验室安全管理系统</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需</w:t>
            </w:r>
            <w:r>
              <w:rPr>
                <w:rFonts w:hint="eastAsia" w:ascii="宋体" w:hAnsi="宋体" w:cs="宋体"/>
                <w:color w:val="auto"/>
                <w:sz w:val="21"/>
                <w:szCs w:val="21"/>
                <w:highlight w:val="none"/>
              </w:rPr>
              <w:t>集成无线远程实验台电源管理系统，终端由2.8寸TFT彩色液晶显示屏和数据采集模块组成，实时显示实验台三相电流值、三相电压值、三相有功功率值、三相无功功率、功率因数、频率等电参数</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需</w:t>
            </w:r>
            <w:r>
              <w:rPr>
                <w:rFonts w:hint="eastAsia" w:ascii="宋体" w:hAnsi="宋体" w:cs="宋体"/>
                <w:color w:val="auto"/>
                <w:sz w:val="21"/>
                <w:szCs w:val="21"/>
                <w:highlight w:val="none"/>
              </w:rPr>
              <w:t>集成无线远程实验台电源管理系统，终端由2.8寸TFT彩色液晶显示屏和数据采集模块组成，实时显示实验台三相电流值、三相电压值、三相有功功率值、三相无功功率、功率因数、频率等电参数</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终端具有两级使用权限：普通权限和高级权限</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稳定可靠的互联网连接：连接可靠性强，网络数据延迟小</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终端设备可以单独开启关闭学生实验台电源；全部开启或全部关闭实验台电源功能；定时预约实验台电源开启关闭功能（云定时）</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终端设备与云端联动，实时显示设备使用功率和历史曲线，实时监控设备的运行状态、故障预警和异常报警；设备的电参数和运行状态会实时的映射到智能移动终端；可远程设置实验台保护电压和电流，及时地反馈到云端，并显示在APP上；在APP上的操作权限同高级权限一样可实现对设备的完全控制；APP可以显示总有功电量和历史小时电量/日电量/月电量/年电量统计记录；设备分享功能，通过APP可以把设备分享给其他成员。(提供满足功能参数的截图不少于10张)</w:t>
            </w:r>
          </w:p>
          <w:p w14:paraId="54129A17">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9、电压：AC220±10％ 50Hz </w:t>
            </w:r>
          </w:p>
          <w:p w14:paraId="0D012FE0">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10、保护：具有漏电保护装置   </w:t>
            </w:r>
          </w:p>
          <w:p w14:paraId="7D905B21">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11、环境温度：+4℃～+45℃ </w:t>
            </w:r>
          </w:p>
          <w:p w14:paraId="69C1033C">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12、装置容量：＜1000W</w:t>
            </w:r>
          </w:p>
          <w:p w14:paraId="2F06B02A">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13、外形尺寸：2000mm×800mm×1800mm</w:t>
            </w:r>
          </w:p>
          <w:p w14:paraId="05B7E36E">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14、实验室安全管理平台软件</w:t>
            </w:r>
          </w:p>
          <w:p w14:paraId="485BE18B">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（1）电源管理终端由2.8寸TFT彩色液晶显示屏和数据采集模块组成，实时显示实验台三相电流值、三相电压值、三相有功功率值、三相无功功率、功率因数、频率等电参数。</w:t>
            </w:r>
          </w:p>
          <w:p w14:paraId="2E10729F">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（2）电源管理终端启动时需输入正确密码才能启动电源，避免学员误操作；</w:t>
            </w:r>
          </w:p>
          <w:p w14:paraId="4E57FA00">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（3）输入正确密码登录以后可以设置定时开关机、过压报警开与关、过压报警值、欠压报警开与关、欠压报警值、过流报警开与关、过流报警值、余额不足报警开与关</w:t>
            </w:r>
          </w:p>
          <w:p w14:paraId="49F1F62E">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（4）登录以后可以进行报警记录查看，电量充值和剩余电量清零等操作；并且可以更改登录密码，系统对时模式设置，热点配网；</w:t>
            </w:r>
          </w:p>
          <w:p w14:paraId="74A7C489">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（5）通过手机APP可以查询电源管理终端电源开关状态，可以单独开启关闭学生实验台电源；全部开启或全部关闭实验台电源功能；定时预约实验台电源开启关闭功能。</w:t>
            </w:r>
          </w:p>
          <w:p w14:paraId="52172117">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6）APP软件实时显示设备温度、用电量柱状图、三相总有功功率、总无功功率、A相有功功率、A相无功功率、A相功率因数、B相有功功率、B相无功功率、B相功率因数、C相有功功率、C相无功功率、C相功率因数、电网频率</w:t>
            </w:r>
          </w:p>
          <w:p w14:paraId="26B319B3">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（7）APP软件可以设置过压报警开与关、过压报警值、欠压报警开与关、欠压报警值、过流报警开与关、过流报警值、余额不足报警开与关</w:t>
            </w:r>
          </w:p>
          <w:p w14:paraId="6D562636">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（8）APP软件可以给电表设备进行电量充值。</w:t>
            </w:r>
          </w:p>
          <w:p w14:paraId="6ABA35F9">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（9）通过APP可以把设备分享给其他成员</w:t>
            </w:r>
          </w:p>
          <w:p w14:paraId="524FF7ED">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（10）APP软件的操作会实时地同步到电源管理终端。</w:t>
            </w:r>
          </w:p>
          <w:p w14:paraId="6E5D8E9C">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二、楼宇对讲及门禁系统实训装置</w:t>
            </w:r>
          </w:p>
          <w:p w14:paraId="53C3BEA8">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采用开放式和拆装式结构设计，采用铝合金型材+网孔板结构，桌面为防火防水板，配有常用电源控制柜，能对各系统进行供电、接线、调试运行和维护实训和考核。主要由对讲主机、联网板、可视电源、可视户机、网络控制器、云管理中心平台系统等组成。</w:t>
            </w:r>
          </w:p>
          <w:p w14:paraId="2F1CD0ED">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系统实训功能：能进行各种楼宇对讲系统操作演示、可视对讲机的安装与连接、可视对讲机的安装与连接、安防对讲机的安装与连接、可视门口机的安装与连接、门禁系统的安装与连接，电控锁、灵性锁的工作原理及安装调试，楼宇对讲及门禁系统管理软件的使用方法、线路的设计与连接、故障的设置、判断及排除等实验和实训，并可与一卡通及小区系列中的其它设备联网进行各种综合实训。</w:t>
            </w:r>
          </w:p>
          <w:p w14:paraId="5C78BB05">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3、无线故障考核软件</w:t>
            </w:r>
          </w:p>
          <w:p w14:paraId="6D022E8B">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（1）系统功能：可实现故障设置、故障模拟、学员考核与评分、故障排除等功能。</w:t>
            </w:r>
          </w:p>
          <w:p w14:paraId="2D320AB8">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（2）可通过 PC 控制终端进行实训考核，也可通过手持移动控制终端进行实训考核，可自由设定任意一处与电控模块引脚有关的各种常见故障，故障类型包括：线路断 路、对地短路、接触不良，偶发等故障现象。每套驱动模块可以设置 8 路大电流 5A 的 开路故障、16 路小电流 2A 的信号通路的开路、不良、偶发、短路等故障，共 24 路故障设置。</w:t>
            </w:r>
          </w:p>
          <w:p w14:paraId="022AA49E">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（3）所有配备驱动模块的实训设备，均可通过内置的无线数据传输模块无线组网，实现远程集中管理。</w:t>
            </w:r>
          </w:p>
          <w:p w14:paraId="00B7C861">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4、系统技术指标：</w:t>
            </w:r>
          </w:p>
          <w:p w14:paraId="4BC58579">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（1）工作电压：单相三线220V±5%  50Hz</w:t>
            </w:r>
          </w:p>
          <w:p w14:paraId="05FBDA7F">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（2）整机容量：＜300W</w:t>
            </w:r>
          </w:p>
          <w:p w14:paraId="3356B6EF">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（3）外形尺寸：1600×700×1800mm</w:t>
            </w:r>
          </w:p>
          <w:p w14:paraId="047056D4">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（4）安全保护：具有漏电自动保护装置</w:t>
            </w:r>
          </w:p>
          <w:p w14:paraId="313E1ADF">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（5）故障设置：具有故障设置系统</w:t>
            </w:r>
          </w:p>
          <w:p w14:paraId="7A73A31A">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5、主要配置设备</w:t>
            </w:r>
          </w:p>
          <w:p w14:paraId="0F0AAE38">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（1）数字人脸识别主机：处理器：Cortex-A7，1G高速内存；TCP/IP协议全数字信号；RJ45网口；彩色7寸液晶LCD 触屏；百万像素摄像头，夜间自动补光；支持人脸识别、密码开锁，实现与分机/管理机/围墙机通话、开锁；</w:t>
            </w:r>
          </w:p>
          <w:p w14:paraId="17E8B7CF">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（2）室内7寸家居一体机：处理器：ARM+DSP双核架构；RJ45网口；H264高清编解码；彩色7寸液晶LCD屏；</w:t>
            </w:r>
          </w:p>
          <w:p w14:paraId="460E78CB">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（3）网络控制器：8+2口（8路）</w:t>
            </w:r>
          </w:p>
          <w:p w14:paraId="64197086">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（4）管理中心机：处理器：Cortex-A7 2核 1G高速内存；RJ45网口；彩色10寸液晶LCD；支持与主机、分机、围墙机三方通话开锁；支持信息发布、防区报警 </w:t>
            </w:r>
          </w:p>
          <w:p w14:paraId="2C8F6E92">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可视对讲与非可视对讲混装，并可实现呼叫、对讲、监视、密码开锁、刷卡开锁、遥控开锁、家居报警、报警时间显示、刷卡信息、报警信息自动存储等功能，具有与小区管理中心互联的功能，可实现小区的联网管理实训。</w:t>
            </w:r>
          </w:p>
          <w:p w14:paraId="5FE06AF8">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b/>
                <w:bCs/>
                <w:color w:val="auto"/>
                <w:sz w:val="21"/>
                <w:szCs w:val="21"/>
                <w:highlight w:val="none"/>
              </w:rPr>
              <w:t>D.给排水设备安装与控制实训装置</w:t>
            </w:r>
          </w:p>
          <w:p w14:paraId="29759A65">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1、给排水模型整体采用不锈钢框架进行设计，主要给排水管道设备安装在钢架底座上、具备开放式的特点，由生活给水系统、消防给水系统、热水给水系统、排水系统和控制系统五个部分组成。</w:t>
            </w:r>
          </w:p>
          <w:p w14:paraId="59C22F84">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生活给水系统主要有给水箱、给水泵、给水管道、压力变送器、脉冲水表、水龙头和淋浴头等组成。管路采用不锈钢复合管进行设计，可进行不锈钢复合管的切割、安装和通水试验操作，通过控制系统可实现生活给水系统的变频恒压供水功能，实现单泵变频控制或双泵切换控制等功能；通过脉冲式水表可以完成用水量的计量。</w:t>
            </w:r>
          </w:p>
          <w:p w14:paraId="3955166B">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3、消防给水系统主要有给水箱、喷淋泵、稳压罐、湿式报警阀、压力开关、水流指示器、消防给水管道、闭式喷淋头等组成。管路采用镀锌管进行设计，可进行镀锌管的切割、套丝、安装和通水试验操作，通过控制系统可实现喷淋灭火功能。</w:t>
            </w:r>
          </w:p>
          <w:p w14:paraId="2ECE1267">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4、热水给水系统主要由电加热锅炉、热水给水管道、水龙头和淋浴头等组成。管路采用PPR管进行设计，可进行PPR管的切割、熔接、安装和通水试验操作，可对锅炉进行温度调节控制操作。</w:t>
            </w:r>
          </w:p>
          <w:p w14:paraId="1FC82E6D">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5、排水系统主要由污水箱、液位传感器、排水泵、排水管道和水处理单元等组成。排水管路主要采用UPVC管进行设计，可进行UPVC管的切割、粘接、安装和通水试验操作，结合控制系统可实现污水箱的水位检测和排水泵的启停控制等功能。</w:t>
            </w:r>
          </w:p>
          <w:p w14:paraId="4F84CF63">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6、给排水自动控制系统主要由电气控制柜、触摸屏、操作开关、工作状态指示灯、PLC控制器、变频器、低压电气、水泵、水表、传感器（浮球式液位计、压力开关、水流指示器、信号蝶阀、压力变送器）、组态监控软件等组成。通过控制系统可实现给排水系统的自动化控制功能。</w:t>
            </w:r>
          </w:p>
          <w:p w14:paraId="232F7305">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7、工作电源：三相四线制AC380V±10%  50Hz；</w:t>
            </w:r>
          </w:p>
          <w:p w14:paraId="10DF41FC">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8、给排水模型外形尺寸：2.35m×0.79m×1.9m（长×宽×高）；</w:t>
            </w:r>
          </w:p>
          <w:p w14:paraId="47535F7E">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9、给排水模型主框架材料：304不锈钢；</w:t>
            </w:r>
          </w:p>
          <w:p w14:paraId="1072084C">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10、整机功耗：＜4.5KVA；</w:t>
            </w:r>
          </w:p>
          <w:p w14:paraId="4FC346E1">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11、装置底部安装有带刹车脚轮，方便装置的移动和固定；</w:t>
            </w:r>
          </w:p>
          <w:p w14:paraId="5920B100">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12、安全保护措施：具有接地保护、漏电过载保护、误操作保护功能；安全性符合相关的国标标准，所有材质均符合环保标准。</w:t>
            </w:r>
          </w:p>
          <w:p w14:paraId="70AD6A3D">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E.计量供暖实训装置</w:t>
            </w:r>
          </w:p>
          <w:p w14:paraId="04AC8FC3">
            <w:pPr>
              <w:keepNext w:val="0"/>
              <w:keepLines w:val="0"/>
              <w:pageBreakBefore w:val="0"/>
              <w:widowControl w:val="0"/>
              <w:kinsoku/>
              <w:wordWrap/>
              <w:overflowPunct/>
              <w:topLinePunct w:val="0"/>
              <w:autoSpaceDE/>
              <w:autoSpaceDN/>
              <w:bidi w:val="0"/>
              <w:spacing w:after="120" w:afterLines="0" w:line="280" w:lineRule="exact"/>
              <w:ind w:firstLine="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一、计量供暖实训装置</w:t>
            </w:r>
          </w:p>
          <w:p w14:paraId="07F033B8">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1、外形尺寸：2000×800×2000mm</w:t>
            </w:r>
          </w:p>
          <w:p w14:paraId="16F99BD7">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2、框架材料：铝合金</w:t>
            </w:r>
          </w:p>
          <w:p w14:paraId="0D6BE950">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3、地板材料：有机玻璃</w:t>
            </w:r>
          </w:p>
          <w:p w14:paraId="1EE6A254">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4、设计压力：0.05MPa～0.75Mpa，</w:t>
            </w:r>
          </w:p>
          <w:p w14:paraId="5D9C2D9E">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5、安全保护：具有漏电自动保护装置和接地保护。</w:t>
            </w:r>
          </w:p>
          <w:p w14:paraId="41374895">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6、主要配置:供水箱、循环水泵、分水器、集水器、电动阀、液晶显示面板，系统原理展板、智能温度控制仪等、一二层处均设热电动调节阀门，</w:t>
            </w:r>
          </w:p>
          <w:p w14:paraId="7CEC0258">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7、一层供暖系统为双管同程式供暖系统，一层地板采用回旋式地暖铺设，左、中、两面框壁各设置铜铝复合散热器、薄壁钢管散热器；</w:t>
            </w:r>
          </w:p>
          <w:p w14:paraId="1A4584DA">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8、二层供暖系统为单管串联式系统，散热器左、中、薄壁铜铝管散热器、外观整洁。二层地板采用回旋式地暖铺设、供回水主立管沿框架左侧设置；控制采用智能温控系统，手自动控制方式。</w:t>
            </w:r>
          </w:p>
          <w:p w14:paraId="35D385C7">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9、系统中阀门配置：闸阀、截止阀、球阀、蝶阀、止回阀、安全阀、调节阀、平衡阀、自力式平衡阀等等</w:t>
            </w:r>
          </w:p>
          <w:p w14:paraId="202D26D6">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10、整体式全暖气片和管路，透明地板，能看清隐蔽管路的全部结构和走向。</w:t>
            </w:r>
          </w:p>
          <w:p w14:paraId="3AD01E17">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11、一二层均设置热计量表，整个系统由锅炉及循环泵实现热循环演示。</w:t>
            </w:r>
          </w:p>
          <w:p w14:paraId="6FAD4A57">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12、供暖方式：展示单管跨越式供暖系统、单管下供下回式供暖系统的外观、结构、原理、安装部位和安装形式。</w:t>
            </w:r>
          </w:p>
          <w:p w14:paraId="15D13715">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13、所有散热器和水暖设备都能全真演示。</w:t>
            </w:r>
          </w:p>
          <w:p w14:paraId="62A5EFD8">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14、系统分上下两层分户墙暖与地暖结合设置</w:t>
            </w:r>
          </w:p>
          <w:p w14:paraId="75CDFDA0">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15、系统管路采用带用串联与并联两种方式结合布置。</w:t>
            </w:r>
          </w:p>
          <w:p w14:paraId="2CED6792">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二、防盗报警系统实训装置</w:t>
            </w:r>
          </w:p>
          <w:p w14:paraId="518DEDDC">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装置组成：采用开放式和拆装式结构设计，采用铝合金型材+网孔板结构，桌面为防火防水板，配有常用电源控制柜，能对各系统进行供电、接线、调试运行和维护实训和考核。主要由幕帘探测器、红外探测器、报警主机、门磁、紧急按钮、声光报警器、感烟探测器、智能考核器、燃气探测器、警号、Modem、光束对射控制测器、扩展模块系统等组成。</w:t>
            </w:r>
          </w:p>
          <w:p w14:paraId="7FBBF877">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系统实训功能：能进行各种防盗报警系统联动操作演示、编程设置，拆布防的操作和设置、各种探测器设置和操作、报警主机键盘的基本操作、键盘操作指令的使用方法、各权限密码设置的编程与验证、防区连接与控制的编程、防区开关、响铃及软防区的编程、防破坏功能的验证、布防后延时的设置、线路的设计与连接、故障的设置、判断及排除等实验和实训。并可与安防系列中的其它设备联网进行各种综合实训。</w:t>
            </w:r>
          </w:p>
          <w:p w14:paraId="68563F1E">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3、无线故障考核软件</w:t>
            </w:r>
          </w:p>
          <w:p w14:paraId="12F36D44">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（1）系统功能：可实现故障设置、故障模拟、学员考核与评分、故障排除等功能。</w:t>
            </w:r>
          </w:p>
          <w:p w14:paraId="4BDE6A5D">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（2）可通过 PC 控制终端进行实训考核，也可通过手持移动控制终端进行实训考核，可自由设定任意一处与电控模块引脚有关的各种常见故障，故障类型包括：线路断 路、对地短路、接触不良，偶发等故障现象。</w:t>
            </w:r>
          </w:p>
          <w:p w14:paraId="40DE4BEA">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（3）所有配备驱动模块的实训设备，均可通过内置的专用新型无线数据传输模块无线组网，实现远程集中管理。</w:t>
            </w:r>
          </w:p>
          <w:p w14:paraId="06135AAF">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（4）可选择通过无线或 RS-232 串口通讯与其它实训设备配套的无线故障设置控制系统组成网络，系统可以联机考核也可以脱机考核，通过主控计算机控制每一台实训设备的故障设置、故障排除、参数设定、远程起动、信息反馈、考核评分等功能。</w:t>
            </w:r>
          </w:p>
          <w:p w14:paraId="48FF94D5">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4、系统技术指标：</w:t>
            </w:r>
          </w:p>
          <w:p w14:paraId="52A6243D">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（1）工作电压：单相三线220V±5%  50Hz</w:t>
            </w:r>
          </w:p>
          <w:p w14:paraId="79146B83">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（2）整机容量：＜300W</w:t>
            </w:r>
          </w:p>
          <w:p w14:paraId="3CEBADA2">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（3）外型尺寸：160×70×180cm3</w:t>
            </w:r>
          </w:p>
          <w:p w14:paraId="45F04598">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（4）安全保护：具有漏电自动保护装置</w:t>
            </w:r>
          </w:p>
          <w:p w14:paraId="2CCA6338">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（5）故障设置：具有故障设置系统</w:t>
            </w:r>
          </w:p>
          <w:p w14:paraId="1332A350">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5、设备基本功能：</w:t>
            </w:r>
          </w:p>
          <w:p w14:paraId="1BDFE59D">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（1）主机配备LED和液晶键盘，每个防区配有LED灯，用以显示系统布防、火灾报警和系统故障。 </w:t>
            </w:r>
          </w:p>
          <w:p w14:paraId="13A37C39">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（2）防区：可以支持248个防区，任何一个防区可跟随15个可编程的防区功能中的一个。 </w:t>
            </w:r>
          </w:p>
          <w:p w14:paraId="33C59B08">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（3）自动布防/延时布防：每个分区的自动布防时间可变。用户可以利用延时布防来取代系统的自动布防时间，或者给主机指定一个特定的时间。</w:t>
            </w:r>
          </w:p>
          <w:p w14:paraId="7EA78BC1">
            <w:pPr>
              <w:keepNext w:val="0"/>
              <w:keepLines w:val="0"/>
              <w:pageBreakBefore w:val="0"/>
              <w:widowControl w:val="0"/>
              <w:kinsoku/>
              <w:wordWrap/>
              <w:overflowPunct/>
              <w:topLinePunct w:val="0"/>
              <w:autoSpaceDE/>
              <w:autoSpaceDN/>
              <w:bidi w:val="0"/>
              <w:spacing w:after="120" w:afterLines="0" w:line="280" w:lineRule="exact"/>
              <w:ind w:firstLine="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（4）公共分区：一个分区可以编程为跟随一些或所有其它分区的布防状态。</w:t>
            </w:r>
          </w:p>
          <w:p w14:paraId="2C50B236">
            <w:pPr>
              <w:keepNext w:val="0"/>
              <w:keepLines w:val="0"/>
              <w:pageBreakBefore w:val="0"/>
              <w:widowControl w:val="0"/>
              <w:kinsoku/>
              <w:wordWrap/>
              <w:overflowPunct/>
              <w:topLinePunct w:val="0"/>
              <w:autoSpaceDE/>
              <w:autoSpaceDN/>
              <w:bidi w:val="0"/>
              <w:spacing w:after="120" w:afterLines="0" w:line="280" w:lineRule="exact"/>
              <w:ind w:firstLine="0" w:firstLineChars="0"/>
              <w:jc w:val="left"/>
              <w:textAlignment w:val="auto"/>
              <w:rPr>
                <w:rFonts w:hint="eastAsia" w:ascii="宋体" w:hAnsi="宋体" w:eastAsia="宋体" w:cs="宋体"/>
                <w:b w:val="0"/>
                <w:bCs w:val="0"/>
                <w:color w:val="auto"/>
                <w:kern w:val="2"/>
                <w:sz w:val="21"/>
                <w:szCs w:val="21"/>
                <w:highlight w:val="none"/>
                <w:lang w:val="en-US" w:eastAsia="zh-Hans" w:bidi="ar-SA"/>
              </w:rPr>
            </w:pPr>
            <w:r>
              <w:rPr>
                <w:rFonts w:hint="eastAsia" w:ascii="宋体" w:hAnsi="宋体" w:eastAsia="宋体" w:cs="宋体"/>
                <w:color w:val="auto"/>
                <w:kern w:val="2"/>
                <w:sz w:val="21"/>
                <w:szCs w:val="21"/>
                <w:highlight w:val="none"/>
                <w:lang w:val="en-US" w:eastAsia="zh-CN" w:bidi="ar-SA"/>
              </w:rPr>
              <w:t>（5）烟感探测器报警确认：当烟感探测器第一次探测到有报警信号时，系统自动将此探测器复位，如果在确认时间内再次探测到有报警信号时，主机立即将事件确认为火灾报警。</w:t>
            </w:r>
          </w:p>
        </w:tc>
        <w:tc>
          <w:tcPr>
            <w:tcW w:w="696" w:type="dxa"/>
            <w:noWrap w:val="0"/>
            <w:vAlign w:val="center"/>
          </w:tcPr>
          <w:p w14:paraId="535DF119">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sz w:val="21"/>
                <w:szCs w:val="21"/>
                <w:highlight w:val="none"/>
              </w:rPr>
              <w:t>1</w:t>
            </w:r>
          </w:p>
        </w:tc>
        <w:tc>
          <w:tcPr>
            <w:tcW w:w="690" w:type="dxa"/>
            <w:noWrap w:val="0"/>
            <w:vAlign w:val="center"/>
          </w:tcPr>
          <w:p w14:paraId="12282746">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kern w:val="2"/>
                <w:sz w:val="21"/>
                <w:szCs w:val="21"/>
                <w:highlight w:val="none"/>
              </w:rPr>
              <w:t>项</w:t>
            </w:r>
          </w:p>
        </w:tc>
        <w:tc>
          <w:tcPr>
            <w:tcW w:w="1065" w:type="dxa"/>
            <w:noWrap w:val="0"/>
            <w:vAlign w:val="center"/>
          </w:tcPr>
          <w:p w14:paraId="38F4D99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b w:val="0"/>
                <w:bCs w:val="0"/>
                <w:color w:val="auto"/>
                <w:kern w:val="2"/>
                <w:sz w:val="21"/>
                <w:szCs w:val="21"/>
                <w:highlight w:val="none"/>
                <w:lang w:val="en-US" w:eastAsia="zh-Hans"/>
              </w:rPr>
              <w:t>工业</w:t>
            </w:r>
          </w:p>
        </w:tc>
      </w:tr>
      <w:tr w14:paraId="552BC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18200DE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rPr>
              <w:t>9</w:t>
            </w:r>
          </w:p>
        </w:tc>
        <w:tc>
          <w:tcPr>
            <w:tcW w:w="1070" w:type="dxa"/>
            <w:noWrap w:val="0"/>
            <w:vAlign w:val="center"/>
          </w:tcPr>
          <w:p w14:paraId="3B53EEEE">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sz w:val="21"/>
                <w:szCs w:val="21"/>
                <w:highlight w:val="none"/>
              </w:rPr>
              <w:t>AI智能体测镜</w:t>
            </w:r>
          </w:p>
        </w:tc>
        <w:tc>
          <w:tcPr>
            <w:tcW w:w="6927" w:type="dxa"/>
            <w:noWrap w:val="0"/>
            <w:vAlign w:val="top"/>
          </w:tcPr>
          <w:p w14:paraId="70E4FF11">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1、尺寸：不小于1.5米高，以确保清晰展示各类信息，同时保证良好的镜子反射效果。</w:t>
            </w:r>
          </w:p>
          <w:p w14:paraId="27944765">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2、镜面材质：采用高质量、防眩光、不易产生变形和失真的光学镜面玻璃。</w:t>
            </w:r>
          </w:p>
          <w:p w14:paraId="3F584C56">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3、屏幕与镜面融合工艺：屏幕在息屏状态下应能与镜面完美融合，整体外观平整，无明显拼接痕迹。</w:t>
            </w:r>
          </w:p>
          <w:p w14:paraId="427D56A2">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4、至少配备一个高清前置摄像头，位置应合理设置，确保能够完整捕捉照镜者的面部及全身画面。具备自动对焦、低光增强、防抖等功能，为准确的信息检测提供基础。</w:t>
            </w:r>
          </w:p>
          <w:p w14:paraId="29CE2EF2">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5、内置高灵敏度人体感应传感器，可实时检测是否有人靠近镜子，当检测到人体靠近时，能在秒内快速唤醒镜子进入工作状态，人离开后在设定时间内自动息屏待机，以节省能源。</w:t>
            </w:r>
          </w:p>
          <w:p w14:paraId="2834D0D4">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6、采用高性能处理器，确保在进行复杂的图像识别和数据分析时，能够快速、准确地处理数据。</w:t>
            </w:r>
          </w:p>
          <w:p w14:paraId="4C15EAD1">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7、内置高品质扬声器，输出功率不小于25W，音质清晰、饱满，音量可调节。</w:t>
            </w:r>
          </w:p>
          <w:p w14:paraId="37E3B6B7">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8、配备降噪麦克风，支持语音交互功能，能够准确识别用户的语音指令，实现如启动检测、查询信息等操作。</w:t>
            </w:r>
          </w:p>
          <w:p w14:paraId="4D09BC56">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9、在未进行智能检测或其他操作时，镜子应能完全作为普通镜子使用，提供清晰、真实的反射成像效果。</w:t>
            </w:r>
          </w:p>
          <w:p w14:paraId="76C84610">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10、通过先进的图像识别和分析算法，能够准确检测照镜者的年龄，误差范围控制在±5岁以内。</w:t>
            </w:r>
          </w:p>
          <w:p w14:paraId="4F1BF483">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11、具备高度准确的性别识别能力。能够快速判断照镜者的性别，并在镜子屏幕上正确显示结果。</w:t>
            </w:r>
          </w:p>
          <w:p w14:paraId="601AB866">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12、配备身高检测功能，利用传感器技术和图像处理算法，能够自动测量照镜者的身高。</w:t>
            </w:r>
          </w:p>
          <w:p w14:paraId="6AC55CA6">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13、运用专业的心理学实训设备和人工智能算法，结合面部表情分析、微表情识别以及可能的语音情感分析等技术，对照镜者的心理年龄进行评估。</w:t>
            </w:r>
          </w:p>
          <w:p w14:paraId="44BBC93E">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sz w:val="21"/>
                <w:szCs w:val="21"/>
                <w:highlight w:val="none"/>
              </w:rPr>
              <w:t>14、支持生成检测结果报告，支持与打印机联动将检测结果直接打印。</w:t>
            </w:r>
          </w:p>
        </w:tc>
        <w:tc>
          <w:tcPr>
            <w:tcW w:w="696" w:type="dxa"/>
            <w:noWrap w:val="0"/>
            <w:vAlign w:val="center"/>
          </w:tcPr>
          <w:p w14:paraId="36E17EF8">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sz w:val="21"/>
                <w:szCs w:val="21"/>
                <w:highlight w:val="none"/>
              </w:rPr>
              <w:t>1</w:t>
            </w:r>
          </w:p>
        </w:tc>
        <w:tc>
          <w:tcPr>
            <w:tcW w:w="690" w:type="dxa"/>
            <w:noWrap w:val="0"/>
            <w:vAlign w:val="center"/>
          </w:tcPr>
          <w:p w14:paraId="42BE5F9B">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kern w:val="2"/>
                <w:sz w:val="21"/>
                <w:szCs w:val="21"/>
                <w:highlight w:val="none"/>
              </w:rPr>
              <w:t>台</w:t>
            </w:r>
          </w:p>
        </w:tc>
        <w:tc>
          <w:tcPr>
            <w:tcW w:w="1065" w:type="dxa"/>
            <w:noWrap w:val="0"/>
            <w:vAlign w:val="center"/>
          </w:tcPr>
          <w:p w14:paraId="473F0DC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b w:val="0"/>
                <w:bCs w:val="0"/>
                <w:color w:val="auto"/>
                <w:kern w:val="2"/>
                <w:sz w:val="21"/>
                <w:szCs w:val="21"/>
                <w:highlight w:val="none"/>
                <w:lang w:val="en-US" w:eastAsia="zh-Hans"/>
              </w:rPr>
              <w:t>工业</w:t>
            </w:r>
          </w:p>
        </w:tc>
      </w:tr>
      <w:tr w14:paraId="6FB4F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50A2979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rPr>
              <w:t>10</w:t>
            </w:r>
          </w:p>
        </w:tc>
        <w:tc>
          <w:tcPr>
            <w:tcW w:w="1070" w:type="dxa"/>
            <w:noWrap w:val="0"/>
            <w:vAlign w:val="center"/>
          </w:tcPr>
          <w:p w14:paraId="57177987">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sz w:val="21"/>
                <w:szCs w:val="21"/>
                <w:highlight w:val="none"/>
              </w:rPr>
              <w:t>综合建筑模型沙盘</w:t>
            </w:r>
          </w:p>
        </w:tc>
        <w:tc>
          <w:tcPr>
            <w:tcW w:w="6927" w:type="dxa"/>
            <w:noWrap w:val="0"/>
            <w:vAlign w:val="top"/>
          </w:tcPr>
          <w:p w14:paraId="3BA6BD1C">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本项目为综合建筑模型，用于专业教学实训，需完整还原建筑全系统机电、弱电、消防、安防等设施的结构与运行逻辑，支持多专业实训教学与演示。模型主体外观及内部结构参照我校图书馆大楼，进行等比例缩小。</w:t>
            </w:r>
          </w:p>
          <w:p w14:paraId="56E7FA65">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2、主体材质：建筑主体采用高透明亚克力（PMMA）板材制作，透光率≥92%，厚度≥8mm，无明显划痕、气泡，结构强度满足长期实训使用，可清晰地展示内部管线与设备布局。</w:t>
            </w:r>
          </w:p>
          <w:p w14:paraId="1A86B038">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3、模型尺寸：整体为多层立体结构，底座尺寸约 2.0m×1.5m（长 × 宽），总高度约 2.2m（含底座），可根据实训场地微调，满足设备实训区摆放要求。</w:t>
            </w:r>
          </w:p>
          <w:p w14:paraId="17473A9C">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4、底座采用钢制框架 + 钣金外壳，表面静电喷塑，防锈、防腐蚀；</w:t>
            </w:r>
          </w:p>
          <w:p w14:paraId="1AA1DA4C">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5、配备4个带刹车万向轮，方便模型移动与固定；</w:t>
            </w:r>
          </w:p>
          <w:p w14:paraId="2715973D">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6、底座正面标注项目名称 “综合建筑模型”、并设置系统图例说明区（标注给排水、电气、消防、暖通等系统颜色标识）。</w:t>
            </w:r>
          </w:p>
          <w:p w14:paraId="3805DE82">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7、外观工艺：模型整体结构对称、布局合理，管线走向清晰，设备造型仿真，灯光效果均匀，无毛刺、变形、漏光等缺陷。</w:t>
            </w:r>
          </w:p>
          <w:p w14:paraId="6398B3A9">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8、模型需完整还原建筑全生命周期机电系统，包含以下核心子系统，且各系统可独立 / 联动演示：</w:t>
            </w:r>
          </w:p>
          <w:p w14:paraId="57AACE12">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（1）建筑供配电与电气系统</w:t>
            </w:r>
          </w:p>
          <w:p w14:paraId="02D41899">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还原建筑变配电室、楼层配电箱、母线槽、线缆敷设等结构，设置仿真高低压配电柜、配电箱模型，造型 1：10 仿真，细节还原仪表、按钮、指示灯；配置红/黄/绿 三色绝缘母线槽，模拟三相供电系统，支持通电演示；还原建筑照明系统，各楼层设置仿真灯具</w:t>
            </w:r>
          </w:p>
          <w:p w14:paraId="2434EDC4">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（2）给排水与消防系统</w:t>
            </w:r>
          </w:p>
          <w:p w14:paraId="1A6FBD3B">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还原建筑给水、排水、消防喷淋、消火栓系统，采用不同颜色管线区分（给水蓝色、排水灰色、消防红色），管线走向符合建筑机电施工规范；配置仿真消防喷淋头、消火栓、水泵接合器、水箱等设备，还原卫生间、厨房等用水点位</w:t>
            </w:r>
          </w:p>
          <w:p w14:paraId="7CCFE3B7">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（3）暖通空调与通风系统</w:t>
            </w:r>
          </w:p>
          <w:p w14:paraId="4C4AF0D4">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还原建筑中央空调系统、新风系统、排风系统，包含仿真空调机组、风机、风管、风口等设备；</w:t>
            </w:r>
          </w:p>
          <w:p w14:paraId="2C4CFBF6">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（4）电梯与建筑结构系统</w:t>
            </w:r>
          </w:p>
          <w:p w14:paraId="704016BB">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还原建筑电梯井道、轿厢、机房等结构</w:t>
            </w:r>
          </w:p>
          <w:p w14:paraId="30A2660B">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展示建筑主体结构、梁柱、楼层布局，还原建筑空间关系。</w:t>
            </w:r>
          </w:p>
          <w:p w14:paraId="7BD33436">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（5）灯光与控制功能</w:t>
            </w:r>
          </w:p>
          <w:p w14:paraId="5CD3D2A1">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灯光系统：模型各楼层、管线、设备配置 LED 氛围灯，采用蓝、绿、红等多色灯光区分不同系统，灯光亮度均匀、无频闪；支持分系统灯光控制，可单独点亮某一系统（如仅点亮消防管线），用于教学演示；灯光寿命≥50000 小时，可更换维护。</w:t>
            </w:r>
          </w:p>
          <w:p w14:paraId="12984C5C">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9、安全与可靠性</w:t>
            </w:r>
          </w:p>
          <w:p w14:paraId="5FA4C49F">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（1）电气安全：所有带电部件均做绝缘防护，配备漏电保护器，符合国家电气安全标准，避免实训时触电风险；</w:t>
            </w:r>
          </w:p>
          <w:p w14:paraId="53C10D17">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（2）结构安全：模型整体结构稳固，亚克力板材、钢制框架强度满足使用要求，无倾倒风险；</w:t>
            </w:r>
          </w:p>
          <w:p w14:paraId="32E6DCAE">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（3）环保要求：所有材料符合环保标准，无甲醛、异味等有害物质，满足室内实训环境要求；</w:t>
            </w:r>
          </w:p>
          <w:p w14:paraId="120DAD66">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（4）可靠性：模型连续运行 72 小时无故障，各系统联动正常，灯光、设备运行稳定。</w:t>
            </w:r>
          </w:p>
          <w:p w14:paraId="1ECBAD35">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sz w:val="21"/>
                <w:szCs w:val="21"/>
                <w:highlight w:val="none"/>
              </w:rPr>
              <w:t>10、培训服务：中标方需提供现场安装调试，并对校方教师进行操作、维护、实训教学培训，培训时长不少于 1 天</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安装调试：中标方负责模型的运输、安装、调试，确保设备正常运行，校方仅需配合场地准备。</w:t>
            </w:r>
          </w:p>
        </w:tc>
        <w:tc>
          <w:tcPr>
            <w:tcW w:w="696" w:type="dxa"/>
            <w:noWrap w:val="0"/>
            <w:vAlign w:val="center"/>
          </w:tcPr>
          <w:p w14:paraId="57641165">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sz w:val="21"/>
                <w:szCs w:val="21"/>
                <w:highlight w:val="none"/>
              </w:rPr>
              <w:t>1</w:t>
            </w:r>
          </w:p>
        </w:tc>
        <w:tc>
          <w:tcPr>
            <w:tcW w:w="690" w:type="dxa"/>
            <w:noWrap w:val="0"/>
            <w:vAlign w:val="center"/>
          </w:tcPr>
          <w:p w14:paraId="31FA2BF8">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kern w:val="2"/>
                <w:sz w:val="21"/>
                <w:szCs w:val="21"/>
                <w:highlight w:val="none"/>
              </w:rPr>
              <w:t>套</w:t>
            </w:r>
          </w:p>
        </w:tc>
        <w:tc>
          <w:tcPr>
            <w:tcW w:w="1065" w:type="dxa"/>
            <w:noWrap w:val="0"/>
            <w:vAlign w:val="center"/>
          </w:tcPr>
          <w:p w14:paraId="78800C2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b w:val="0"/>
                <w:bCs w:val="0"/>
                <w:color w:val="auto"/>
                <w:kern w:val="2"/>
                <w:sz w:val="21"/>
                <w:szCs w:val="21"/>
                <w:highlight w:val="none"/>
                <w:lang w:val="en-US" w:eastAsia="zh-Hans"/>
              </w:rPr>
              <w:t>工业</w:t>
            </w:r>
          </w:p>
        </w:tc>
      </w:tr>
      <w:tr w14:paraId="2E060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5" w:type="dxa"/>
            <w:noWrap w:val="0"/>
            <w:vAlign w:val="center"/>
          </w:tcPr>
          <w:p w14:paraId="1113481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rPr>
              <w:t>11</w:t>
            </w:r>
          </w:p>
        </w:tc>
        <w:tc>
          <w:tcPr>
            <w:tcW w:w="1070" w:type="dxa"/>
            <w:noWrap w:val="0"/>
            <w:vAlign w:val="center"/>
          </w:tcPr>
          <w:p w14:paraId="60E22342">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sz w:val="21"/>
                <w:szCs w:val="21"/>
                <w:highlight w:val="none"/>
              </w:rPr>
              <w:t>物业巡检机器人</w:t>
            </w:r>
          </w:p>
        </w:tc>
        <w:tc>
          <w:tcPr>
            <w:tcW w:w="6927" w:type="dxa"/>
            <w:noWrap w:val="0"/>
            <w:vAlign w:val="top"/>
          </w:tcPr>
          <w:p w14:paraId="1CE37F57">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1、整机参数：整机重量（含电池）：≤20kg；主体材质：铝合金 + 高强度工程塑料；总自由度：≥12个</w:t>
            </w:r>
          </w:p>
          <w:p w14:paraId="7CDF4D91">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kern w:val="2"/>
                <w:sz w:val="21"/>
                <w:szCs w:val="21"/>
                <w:highlight w:val="none"/>
              </w:rPr>
              <w:t>★</w:t>
            </w:r>
            <w:r>
              <w:rPr>
                <w:rFonts w:hint="eastAsia" w:ascii="宋体" w:hAnsi="宋体" w:cs="宋体"/>
                <w:color w:val="auto"/>
                <w:sz w:val="21"/>
                <w:szCs w:val="21"/>
                <w:highlight w:val="none"/>
              </w:rPr>
              <w:t>2、关节与驱动：关节轴承：高精度工业级轴承；关节电机：高速永磁同步电机；关节最大扭矩：≥80 N·m；关节编码器：双编码器方案；散热方式：主动散热设计（风冷或等效方案）；（需提供带官网链接的截图证明）</w:t>
            </w:r>
          </w:p>
          <w:p w14:paraId="248AA88D">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kern w:val="2"/>
                <w:sz w:val="21"/>
                <w:szCs w:val="21"/>
                <w:highlight w:val="none"/>
              </w:rPr>
              <w:t>★</w:t>
            </w:r>
            <w:r>
              <w:rPr>
                <w:rFonts w:hint="eastAsia" w:ascii="宋体" w:hAnsi="宋体" w:cs="宋体"/>
                <w:color w:val="auto"/>
                <w:sz w:val="21"/>
                <w:szCs w:val="21"/>
                <w:highlight w:val="none"/>
              </w:rPr>
              <w:t>3、电池与续航：供电方式：锂电池；电池容量：≥15000mAh；空载续航：≥3.5h（持续行走），里程≥18km；额定负载续航：≥2h（持续行走），里程≥10km；（需提供带官网链接的截图证明）</w:t>
            </w:r>
          </w:p>
          <w:p w14:paraId="2F095F1E">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4、运动能力：斜坡行走能力：≥35°；台阶攀爬能力：≥20cm；运动速度：常规≥3.5m/s，极限≥4.5m/s；</w:t>
            </w:r>
          </w:p>
          <w:p w14:paraId="793BBF1C">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5、防护等级：不低于IP54；</w:t>
            </w:r>
          </w:p>
          <w:p w14:paraId="33411266">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6、感知系统：激光雷达：3D激光雷达线数≥64线，水平视场角≥180°，具备探物避障功能，含导航算法及技术支持；高清相机：分辨率≥1080P；深度相机：≥1台；内置GPS/北斗定位模块；</w:t>
            </w:r>
          </w:p>
          <w:p w14:paraId="4EAB3CDE">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7、通信与连接：蜂窝通信：支持4G/5G；支持WiFi 6；蓝牙：蓝牙5.0及以上；有线接口：≥1路千兆以太网；≥1路控制总线接口（SBUS/CAN/RS485等）；</w:t>
            </w:r>
          </w:p>
          <w:p w14:paraId="5E7AF68F">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8、多媒体与交互：音频：配备扬声器 + 麦克风阵列；照明：配备照明灯；</w:t>
            </w:r>
          </w:p>
          <w:p w14:paraId="79743F9C">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9、控制与配件：手持遥控器：≥1台；配套移动端APP：支持高清图传、遥控操作、数据查看及图形化编程；</w:t>
            </w:r>
          </w:p>
          <w:p w14:paraId="0590116F">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ascii="宋体" w:hAnsi="宋体" w:cs="宋体"/>
                <w:color w:val="auto"/>
                <w:sz w:val="24"/>
                <w:szCs w:val="24"/>
                <w:highlight w:val="none"/>
                <w:lang w:bidi="ar"/>
              </w:rPr>
              <w:t>▲</w:t>
            </w:r>
            <w:r>
              <w:rPr>
                <w:rFonts w:hint="eastAsia" w:ascii="宋体" w:hAnsi="宋体" w:cs="宋体"/>
                <w:color w:val="auto"/>
                <w:sz w:val="21"/>
                <w:szCs w:val="21"/>
                <w:highlight w:val="none"/>
              </w:rPr>
              <w:t>10、至少内置交叉步、向上跳、向前跳、前空翻、后空翻、开心、握手、扑人、坐下、伸懒腰、作揖等多种创意舞蹈等动作，（需提供前空翻和后空翻演示视频证明材料）；</w:t>
            </w:r>
          </w:p>
          <w:p w14:paraId="2D4D0188">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11、软件与生态：应用平台：具备应用管理平台，支持应用安装、更新与管理；固件升级：支持远程OTA固件升级；开发支持：提供开发文档、API参考手册及示例代码；</w:t>
            </w:r>
          </w:p>
          <w:p w14:paraId="775C972A">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12、二次开发：开放SDK/API，负责二次开发；具备≥100Tops超大算力的拓展坞，含AI算法及技术支持；</w:t>
            </w:r>
          </w:p>
          <w:p w14:paraId="124F44B8">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13、支持软件服务接口，包含不限于运控服务接口V2.0、DDS通信接口、避障服务接口、音量灯光服务接口、设备状态服务接口、运控切换服务接口、高层运动服务接口、底层服务接口、里程计服务接口等服务接口；</w:t>
            </w:r>
          </w:p>
          <w:p w14:paraId="0AB82A09">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14、腿和机身连接处具备全向柔性缓冲结构，可有效吸收全向冲击；为保证设备长时间运行不过热保护，设备膝关节电机附近内置专利热管辅助散热</w:t>
            </w:r>
          </w:p>
          <w:p w14:paraId="2BA44A27">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15、配备无线矢量定位及控制系统，无需使用遥控器控制机器狗即可实现设备位于人的侧向余光视线内伴随</w:t>
            </w:r>
            <w:r>
              <w:rPr>
                <w:rFonts w:hint="eastAsia" w:ascii="宋体" w:hAnsi="宋体" w:cs="宋体"/>
                <w:color w:val="auto"/>
                <w:sz w:val="21"/>
                <w:szCs w:val="21"/>
                <w:highlight w:val="none"/>
                <w:lang w:eastAsia="zh-CN"/>
              </w:rPr>
              <w:t>。</w:t>
            </w:r>
          </w:p>
          <w:p w14:paraId="1475CF37">
            <w:pPr>
              <w:keepNext w:val="0"/>
              <w:keepLines w:val="0"/>
              <w:pageBreakBefore w:val="0"/>
              <w:widowControl/>
              <w:kinsoku/>
              <w:wordWrap/>
              <w:overflowPunct/>
              <w:topLinePunct w:val="0"/>
              <w:autoSpaceDE/>
              <w:autoSpaceDN/>
              <w:bidi w:val="0"/>
              <w:spacing w:line="280" w:lineRule="exact"/>
              <w:jc w:val="left"/>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kern w:val="2"/>
                <w:sz w:val="21"/>
                <w:szCs w:val="21"/>
                <w:highlight w:val="none"/>
                <w:lang w:eastAsia="zh-Hans"/>
              </w:rPr>
              <w:t>1</w:t>
            </w:r>
            <w:r>
              <w:rPr>
                <w:rFonts w:hint="eastAsia" w:ascii="宋体" w:hAnsi="宋体" w:cs="宋体"/>
                <w:color w:val="auto"/>
                <w:kern w:val="2"/>
                <w:sz w:val="21"/>
                <w:szCs w:val="21"/>
                <w:highlight w:val="none"/>
                <w:lang w:val="en-US" w:eastAsia="zh-CN"/>
              </w:rPr>
              <w:t>6</w:t>
            </w:r>
            <w:r>
              <w:rPr>
                <w:rFonts w:hint="eastAsia" w:ascii="宋体" w:hAnsi="宋体" w:cs="宋体"/>
                <w:color w:val="auto"/>
                <w:kern w:val="2"/>
                <w:sz w:val="21"/>
                <w:szCs w:val="21"/>
                <w:highlight w:val="none"/>
                <w:lang w:eastAsia="zh-Hans"/>
              </w:rPr>
              <w:t>、</w:t>
            </w:r>
            <w:r>
              <w:rPr>
                <w:rFonts w:hint="eastAsia" w:ascii="宋体" w:hAnsi="宋体" w:cs="宋体"/>
                <w:color w:val="auto"/>
                <w:sz w:val="21"/>
                <w:szCs w:val="21"/>
                <w:highlight w:val="none"/>
              </w:rPr>
              <w:t>负责人机交互、楼梯攀爬、火灾巡检等场景的开发及训练。</w:t>
            </w:r>
          </w:p>
        </w:tc>
        <w:tc>
          <w:tcPr>
            <w:tcW w:w="696" w:type="dxa"/>
            <w:noWrap w:val="0"/>
            <w:vAlign w:val="center"/>
          </w:tcPr>
          <w:p w14:paraId="1D9DE843">
            <w:pPr>
              <w:keepNext w:val="0"/>
              <w:keepLines w:val="0"/>
              <w:pageBreakBefore w:val="0"/>
              <w:widowControl/>
              <w:kinsoku/>
              <w:wordWrap/>
              <w:overflowPunct/>
              <w:topLinePunct w:val="0"/>
              <w:autoSpaceDE/>
              <w:autoSpaceDN/>
              <w:bidi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sz w:val="21"/>
                <w:szCs w:val="21"/>
                <w:highlight w:val="none"/>
              </w:rPr>
              <w:t>1</w:t>
            </w:r>
          </w:p>
        </w:tc>
        <w:tc>
          <w:tcPr>
            <w:tcW w:w="690" w:type="dxa"/>
            <w:noWrap w:val="0"/>
            <w:vAlign w:val="center"/>
          </w:tcPr>
          <w:p w14:paraId="09C8354F">
            <w:pPr>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cs="宋体"/>
                <w:color w:val="auto"/>
                <w:kern w:val="2"/>
                <w:sz w:val="21"/>
                <w:szCs w:val="21"/>
                <w:highlight w:val="none"/>
              </w:rPr>
              <w:t>台</w:t>
            </w:r>
          </w:p>
        </w:tc>
        <w:tc>
          <w:tcPr>
            <w:tcW w:w="1065" w:type="dxa"/>
            <w:noWrap w:val="0"/>
            <w:vAlign w:val="center"/>
          </w:tcPr>
          <w:p w14:paraId="669C925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val="0"/>
                <w:color w:val="auto"/>
                <w:kern w:val="2"/>
                <w:sz w:val="21"/>
                <w:szCs w:val="21"/>
                <w:highlight w:val="none"/>
                <w:lang w:eastAsia="zh-Hans"/>
              </w:rPr>
            </w:pPr>
            <w:r>
              <w:rPr>
                <w:rFonts w:hint="eastAsia" w:ascii="宋体" w:hAnsi="宋体" w:eastAsia="宋体" w:cs="宋体"/>
                <w:b w:val="0"/>
                <w:bCs w:val="0"/>
                <w:color w:val="auto"/>
                <w:kern w:val="2"/>
                <w:sz w:val="21"/>
                <w:szCs w:val="21"/>
                <w:highlight w:val="none"/>
                <w:lang w:val="en-US" w:eastAsia="zh-Hans"/>
              </w:rPr>
              <w:t>工业</w:t>
            </w:r>
          </w:p>
        </w:tc>
      </w:tr>
    </w:tbl>
    <w:p w14:paraId="101DA9EA">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0"/>
        <w:rPr>
          <w:rFonts w:hint="default" w:ascii="宋体" w:hAnsi="宋体" w:eastAsia="宋体" w:cs="Times New Roman"/>
          <w:b/>
          <w:bCs/>
          <w:color w:val="auto"/>
          <w:kern w:val="28"/>
          <w:sz w:val="44"/>
          <w:highlight w:val="none"/>
          <w:lang w:val="en-US" w:eastAsia="zh-CN" w:bidi="en-US"/>
        </w:rPr>
      </w:pPr>
      <w:r>
        <w:rPr>
          <w:rFonts w:hint="eastAsia" w:ascii="宋体" w:hAnsi="宋体" w:eastAsia="宋体" w:cs="Times New Roman"/>
          <w:b/>
          <w:bCs/>
          <w:color w:val="auto"/>
          <w:kern w:val="28"/>
          <w:sz w:val="24"/>
          <w:szCs w:val="24"/>
          <w:highlight w:val="none"/>
          <w:lang w:val="en-US" w:eastAsia="zh-CN" w:bidi="en-US"/>
        </w:rPr>
        <w:t>注：中标后成交供应商需给采购人现场演示加▲项功能。</w:t>
      </w:r>
    </w:p>
    <w:p w14:paraId="14192BF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KSOF1D5EAB94">
    <w:panose1 w:val="020B0802040204020203"/>
    <w:charset w:val="00"/>
    <w:family w:val="auto"/>
    <w:pitch w:val="default"/>
    <w:sig w:usb0="00000001"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A00002EF" w:usb1="4000004B"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6529FF"/>
    <w:rsid w:val="516529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paragraph" w:styleId="2">
    <w:name w:val="heading 3"/>
    <w:basedOn w:val="1"/>
    <w:next w:val="1"/>
    <w:qFormat/>
    <w:uiPriority w:val="0"/>
    <w:pPr>
      <w:keepNext/>
      <w:keepLines/>
      <w:outlineLvl w:val="2"/>
    </w:pPr>
    <w:rPr>
      <w:rFonts w:eastAsia="仿宋"/>
      <w:b/>
      <w:bCs/>
      <w:sz w:val="30"/>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next w:val="1"/>
    <w:uiPriority w:val="0"/>
    <w:rPr>
      <w:rFonts w:eastAsia="仿宋_GB2312"/>
      <w:kern w:val="2"/>
      <w:sz w:val="28"/>
      <w:szCs w:val="30"/>
    </w:rPr>
  </w:style>
  <w:style w:type="paragraph" w:styleId="4">
    <w:name w:val="Body Text Indent"/>
    <w:basedOn w:val="1"/>
    <w:next w:val="5"/>
    <w:uiPriority w:val="0"/>
    <w:pPr>
      <w:spacing w:line="400" w:lineRule="exact"/>
      <w:ind w:left="630"/>
    </w:pPr>
    <w:rPr>
      <w:rFonts w:ascii="楷体_GB2312" w:eastAsia="仿宋_GB2312"/>
      <w:kern w:val="2"/>
      <w:sz w:val="30"/>
      <w:szCs w:val="30"/>
    </w:rPr>
  </w:style>
  <w:style w:type="paragraph" w:styleId="5">
    <w:name w:val="envelope return"/>
    <w:basedOn w:val="1"/>
    <w:qFormat/>
    <w:uiPriority w:val="0"/>
    <w:pPr>
      <w:snapToGrid w:val="0"/>
    </w:pPr>
    <w:rPr>
      <w:rFonts w:ascii="Arial" w:hAnsi="Arial"/>
    </w:rPr>
  </w:style>
  <w:style w:type="paragraph" w:styleId="6">
    <w:name w:val="Title"/>
    <w:basedOn w:val="1"/>
    <w:next w:val="1"/>
    <w:qFormat/>
    <w:uiPriority w:val="0"/>
    <w:pPr>
      <w:widowControl/>
      <w:jc w:val="center"/>
      <w:outlineLvl w:val="0"/>
    </w:pPr>
    <w:rPr>
      <w:rFonts w:ascii="Cambria" w:hAnsi="Cambria" w:eastAsia="微软雅黑"/>
      <w:b/>
      <w:bCs/>
      <w:kern w:val="28"/>
      <w:sz w:val="44"/>
      <w:lang w:eastAsia="en-US" w:bidi="en-US"/>
    </w:rPr>
  </w:style>
  <w:style w:type="paragraph" w:styleId="7">
    <w:name w:val="Body Text First Indent"/>
    <w:basedOn w:val="3"/>
    <w:next w:val="8"/>
    <w:qFormat/>
    <w:uiPriority w:val="0"/>
    <w:pPr>
      <w:spacing w:after="120" w:afterLines="0"/>
      <w:ind w:firstLine="420"/>
    </w:pPr>
  </w:style>
  <w:style w:type="paragraph" w:styleId="8">
    <w:name w:val="Body Text First Indent 2"/>
    <w:basedOn w:val="4"/>
    <w:next w:val="1"/>
    <w:uiPriority w:val="0"/>
    <w:pPr>
      <w:spacing w:after="120" w:afterLines="0" w:line="240" w:lineRule="auto"/>
      <w:ind w:left="200" w:leftChars="200" w:firstLine="200" w:firstLineChars="200"/>
    </w:pPr>
  </w:style>
  <w:style w:type="paragraph" w:customStyle="1" w:styleId="11">
    <w:name w:val="*正文"/>
    <w:basedOn w:val="1"/>
    <w:qFormat/>
    <w:uiPriority w:val="0"/>
    <w:pPr>
      <w:widowControl/>
      <w:ind w:firstLine="482"/>
    </w:pPr>
    <w:rPr>
      <w:rFonts w:ascii="微软雅黑" w:hAnsi="微软雅黑" w:eastAsia="微软雅黑"/>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2026-08-12T06:51:00Z</dcterms:created>
  <dc:creator>FF</dc:creator>
  <cp:lastModifiedBy>FF</cp:lastModifiedBy>
  <dcterms:modified xsi:type="dcterms:W3CDTF">2026-08-12T06:51:56Z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2D98C9D45ADE4C6E8540CA9E89546E47_11</vt:lpwstr>
  </property>
  <property fmtid="{D5CDD505-2E9C-101B-9397-08002B2CF9AE}" pid="4" name="KSOTemplateDocerSaveRecord">
    <vt:lpwstr>eyJoZGlkIjoiMWZiYzQ2ZDY4NWM4M2FjYTIyZGE3OTEwZTUzYzgxN2IiLCJ1c2VySWQiOiI0Mzg1MzY0MTcifQ==</vt:lpwstr>
  </property>
</Properties>
</file>