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3874">
      <w:pPr>
        <w:keepNext w:val="0"/>
        <w:keepLines w:val="0"/>
        <w:pageBreakBefore w:val="0"/>
        <w:widowControl/>
        <w:tabs>
          <w:tab w:val="left" w:pos="1950"/>
        </w:tabs>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pacing w:val="-20"/>
          <w:sz w:val="72"/>
          <w:szCs w:val="72"/>
          <w:lang w:val="en-US" w:eastAsia="zh-CN"/>
        </w:rPr>
      </w:pPr>
      <w:r>
        <w:rPr>
          <w:rFonts w:hint="eastAsia" w:asciiTheme="majorEastAsia" w:hAnsiTheme="majorEastAsia" w:eastAsiaTheme="majorEastAsia" w:cstheme="majorEastAsia"/>
          <w:b/>
          <w:bCs/>
          <w:color w:val="auto"/>
          <w:spacing w:val="-20"/>
          <w:sz w:val="72"/>
          <w:szCs w:val="72"/>
          <w:lang w:val="en-US" w:eastAsia="zh-CN"/>
        </w:rPr>
        <w:t>河南财经政法大学郑东校区物业服务项目</w:t>
      </w:r>
    </w:p>
    <w:p w14:paraId="4BA4A4FA">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6970F2E6">
      <w:pPr>
        <w:pageBreakBefore w:val="0"/>
        <w:wordWrap/>
        <w:topLinePunct w:val="0"/>
        <w:bidi w:val="0"/>
        <w:spacing w:line="360" w:lineRule="auto"/>
        <w:rPr>
          <w:rFonts w:hint="eastAsia" w:ascii="仿宋" w:hAnsi="仿宋" w:eastAsia="仿宋" w:cs="仿宋"/>
          <w:lang w:eastAsia="zh-CN"/>
        </w:rPr>
      </w:pPr>
    </w:p>
    <w:p w14:paraId="2C5E5E32">
      <w:pPr>
        <w:pageBreakBefore w:val="0"/>
        <w:wordWrap/>
        <w:topLinePunct w:val="0"/>
        <w:bidi w:val="0"/>
        <w:spacing w:line="360" w:lineRule="auto"/>
        <w:jc w:val="center"/>
        <w:rPr>
          <w:rFonts w:hint="eastAsia" w:asciiTheme="majorEastAsia" w:hAnsiTheme="majorEastAsia" w:eastAsiaTheme="majorEastAsia" w:cstheme="majorEastAsia"/>
          <w:b/>
          <w:bCs/>
          <w:color w:val="auto"/>
          <w:sz w:val="144"/>
          <w:szCs w:val="144"/>
          <w:lang w:eastAsia="zh-CN"/>
        </w:rPr>
      </w:pPr>
      <w:r>
        <w:rPr>
          <w:rFonts w:hint="eastAsia" w:asciiTheme="majorEastAsia" w:hAnsiTheme="majorEastAsia" w:eastAsiaTheme="majorEastAsia" w:cstheme="majorEastAsia"/>
          <w:b/>
          <w:color w:val="auto"/>
          <w:sz w:val="144"/>
          <w:szCs w:val="144"/>
          <w:lang w:eastAsia="zh-CN"/>
        </w:rPr>
        <w:t>招标文件</w:t>
      </w:r>
    </w:p>
    <w:p w14:paraId="23C382B5">
      <w:pPr>
        <w:pageBreakBefore w:val="0"/>
        <w:wordWrap/>
        <w:topLinePunct w:val="0"/>
        <w:bidi w:val="0"/>
        <w:spacing w:line="360" w:lineRule="auto"/>
        <w:jc w:val="center"/>
        <w:rPr>
          <w:rFonts w:hint="eastAsia" w:ascii="仿宋" w:hAnsi="仿宋" w:eastAsia="仿宋" w:cs="仿宋"/>
          <w:b/>
          <w:color w:val="auto"/>
          <w:sz w:val="36"/>
          <w:szCs w:val="36"/>
          <w:lang w:val="en" w:eastAsia="zh-CN"/>
        </w:rPr>
      </w:pPr>
      <w:r>
        <w:rPr>
          <w:rFonts w:hint="eastAsia" w:asciiTheme="majorEastAsia" w:hAnsiTheme="majorEastAsia" w:eastAsiaTheme="majorEastAsia" w:cstheme="majorEastAsia"/>
          <w:b/>
          <w:color w:val="auto"/>
          <w:sz w:val="36"/>
          <w:szCs w:val="36"/>
          <w:lang w:eastAsia="zh-CN"/>
        </w:rPr>
        <w:t>采购编号：豫财招标采购-2025-1739</w:t>
      </w:r>
    </w:p>
    <w:p w14:paraId="6E23193F">
      <w:pPr>
        <w:pageBreakBefore w:val="0"/>
        <w:wordWrap/>
        <w:topLinePunct w:val="0"/>
        <w:bidi w:val="0"/>
        <w:spacing w:line="360" w:lineRule="auto"/>
        <w:rPr>
          <w:rFonts w:hint="eastAsia" w:ascii="仿宋" w:hAnsi="仿宋" w:eastAsia="仿宋" w:cs="仿宋"/>
          <w:color w:val="auto"/>
          <w:lang w:val="en-US" w:eastAsia="zh-CN"/>
        </w:rPr>
      </w:pPr>
    </w:p>
    <w:p w14:paraId="360E646E">
      <w:pPr>
        <w:pageBreakBefore w:val="0"/>
        <w:wordWrap/>
        <w:topLinePunct w:val="0"/>
        <w:bidi w:val="0"/>
        <w:spacing w:line="360" w:lineRule="auto"/>
        <w:jc w:val="center"/>
        <w:rPr>
          <w:rFonts w:hint="eastAsia" w:ascii="仿宋" w:hAnsi="仿宋" w:eastAsia="仿宋" w:cs="仿宋"/>
          <w:b/>
          <w:bCs/>
          <w:color w:val="auto"/>
          <w:sz w:val="28"/>
          <w:szCs w:val="28"/>
        </w:rPr>
      </w:pPr>
      <w:r>
        <w:rPr>
          <w:rFonts w:hint="eastAsia" w:ascii="仿宋" w:hAnsi="仿宋" w:eastAsia="仿宋" w:cs="仿宋"/>
          <w:color w:val="auto"/>
          <w:lang w:val="en-US" w:eastAsia="zh-CN"/>
        </w:rPr>
        <w:drawing>
          <wp:inline distT="0" distB="0" distL="114300" distR="114300">
            <wp:extent cx="1397635" cy="1397635"/>
            <wp:effectExtent l="0" t="0" r="1206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1397635" cy="1397635"/>
                    </a:xfrm>
                    <a:prstGeom prst="rect">
                      <a:avLst/>
                    </a:prstGeom>
                    <a:noFill/>
                    <a:ln>
                      <a:noFill/>
                    </a:ln>
                  </pic:spPr>
                </pic:pic>
              </a:graphicData>
            </a:graphic>
          </wp:inline>
        </w:drawing>
      </w:r>
    </w:p>
    <w:p w14:paraId="138462A5">
      <w:pPr>
        <w:pageBreakBefore w:val="0"/>
        <w:wordWrap/>
        <w:topLinePunct w:val="0"/>
        <w:bidi w:val="0"/>
        <w:spacing w:line="360" w:lineRule="auto"/>
        <w:rPr>
          <w:rFonts w:hint="eastAsia" w:ascii="仿宋" w:hAnsi="仿宋" w:eastAsia="仿宋" w:cs="仿宋"/>
          <w:b/>
          <w:bCs/>
          <w:color w:val="auto"/>
          <w:sz w:val="28"/>
          <w:szCs w:val="28"/>
          <w:lang w:val="en-US"/>
        </w:rPr>
      </w:pPr>
    </w:p>
    <w:p w14:paraId="185C404B">
      <w:pPr>
        <w:pStyle w:val="16"/>
        <w:pageBreakBefore w:val="0"/>
        <w:wordWrap/>
        <w:topLinePunct w:val="0"/>
        <w:bidi w:val="0"/>
        <w:spacing w:line="360" w:lineRule="auto"/>
        <w:rPr>
          <w:rFonts w:hint="eastAsia" w:asciiTheme="minorEastAsia" w:hAnsiTheme="minorEastAsia" w:eastAsiaTheme="minorEastAsia" w:cstheme="minorEastAsia"/>
          <w:b/>
          <w:bCs/>
          <w:color w:val="auto"/>
          <w:sz w:val="36"/>
          <w:szCs w:val="36"/>
          <w:highlight w:val="none"/>
          <w:lang w:val="en-US"/>
        </w:rPr>
      </w:pPr>
    </w:p>
    <w:p w14:paraId="58005A7D">
      <w:pPr>
        <w:pageBreakBefore w:val="0"/>
        <w:wordWrap/>
        <w:topLinePunct w:val="0"/>
        <w:bidi w:val="0"/>
        <w:spacing w:line="360" w:lineRule="auto"/>
        <w:ind w:left="1050" w:leftChars="500"/>
        <w:rPr>
          <w:rFonts w:hint="eastAsia" w:asciiTheme="minorEastAsia" w:hAnsiTheme="minorEastAsia" w:eastAsiaTheme="minorEastAsia" w:cstheme="minorEastAsia"/>
          <w:b/>
          <w:color w:val="auto"/>
          <w:sz w:val="36"/>
          <w:szCs w:val="36"/>
          <w:highlight w:val="none"/>
          <w:lang w:val="en" w:eastAsia="zh-CN"/>
        </w:rPr>
      </w:pPr>
      <w:r>
        <w:rPr>
          <w:rFonts w:hint="eastAsia" w:asciiTheme="minorEastAsia" w:hAnsiTheme="minorEastAsia" w:eastAsiaTheme="minorEastAsia" w:cstheme="minorEastAsia"/>
          <w:b/>
          <w:color w:val="auto"/>
          <w:sz w:val="36"/>
          <w:szCs w:val="36"/>
          <w:highlight w:val="none"/>
          <w:lang w:eastAsia="zh-CN"/>
        </w:rPr>
        <w:t>采</w:t>
      </w:r>
      <w:r>
        <w:rPr>
          <w:rFonts w:hint="eastAsia" w:asciiTheme="minorEastAsia" w:hAnsiTheme="minorEastAsia" w:eastAsiaTheme="minorEastAsia" w:cstheme="minorEastAsia"/>
          <w:b/>
          <w:color w:val="auto"/>
          <w:sz w:val="36"/>
          <w:szCs w:val="36"/>
          <w:lang w:eastAsia="zh-CN"/>
        </w:rPr>
        <w:t xml:space="preserve"> </w:t>
      </w:r>
      <w:r>
        <w:rPr>
          <w:rFonts w:hint="eastAsia" w:asciiTheme="minorEastAsia" w:hAnsiTheme="minorEastAsia" w:eastAsiaTheme="minorEastAsia" w:cstheme="minorEastAsia"/>
          <w:b/>
          <w:color w:val="auto"/>
          <w:sz w:val="36"/>
          <w:szCs w:val="36"/>
          <w:lang w:val="en-US" w:eastAsia="zh-CN"/>
        </w:rPr>
        <w:t xml:space="preserve"> </w:t>
      </w:r>
      <w:r>
        <w:rPr>
          <w:rFonts w:hint="eastAsia" w:asciiTheme="minorEastAsia" w:hAnsiTheme="minorEastAsia" w:eastAsiaTheme="minorEastAsia" w:cstheme="minorEastAsia"/>
          <w:b/>
          <w:color w:val="auto"/>
          <w:sz w:val="36"/>
          <w:szCs w:val="36"/>
          <w:lang w:val="en" w:eastAsia="zh-CN"/>
        </w:rPr>
        <w:t xml:space="preserve"> </w:t>
      </w:r>
      <w:r>
        <w:rPr>
          <w:rFonts w:hint="eastAsia" w:asciiTheme="minorEastAsia" w:hAnsiTheme="minorEastAsia" w:eastAsiaTheme="minorEastAsia" w:cstheme="minorEastAsia"/>
          <w:b/>
          <w:color w:val="auto"/>
          <w:sz w:val="36"/>
          <w:szCs w:val="36"/>
          <w:lang w:eastAsia="zh-CN"/>
        </w:rPr>
        <w:t xml:space="preserve">购 </w:t>
      </w:r>
      <w:r>
        <w:rPr>
          <w:rFonts w:hint="eastAsia" w:asciiTheme="minorEastAsia" w:hAnsiTheme="minorEastAsia" w:eastAsiaTheme="minorEastAsia" w:cstheme="minorEastAsia"/>
          <w:b/>
          <w:color w:val="auto"/>
          <w:sz w:val="36"/>
          <w:szCs w:val="36"/>
          <w:lang w:val="en-US" w:eastAsia="zh-CN"/>
        </w:rPr>
        <w:t xml:space="preserve"> </w:t>
      </w:r>
      <w:r>
        <w:rPr>
          <w:rFonts w:hint="eastAsia" w:asciiTheme="minorEastAsia" w:hAnsiTheme="minorEastAsia" w:eastAsiaTheme="minorEastAsia" w:cstheme="minorEastAsia"/>
          <w:b/>
          <w:color w:val="auto"/>
          <w:sz w:val="36"/>
          <w:szCs w:val="36"/>
          <w:lang w:val="en" w:eastAsia="zh-CN"/>
        </w:rPr>
        <w:t xml:space="preserve"> </w:t>
      </w:r>
      <w:r>
        <w:rPr>
          <w:rFonts w:hint="eastAsia" w:asciiTheme="minorEastAsia" w:hAnsiTheme="minorEastAsia" w:eastAsiaTheme="minorEastAsia" w:cstheme="minorEastAsia"/>
          <w:b/>
          <w:color w:val="auto"/>
          <w:sz w:val="36"/>
          <w:szCs w:val="36"/>
          <w:lang w:eastAsia="zh-CN"/>
        </w:rPr>
        <w:t>人：</w:t>
      </w:r>
      <w:r>
        <w:rPr>
          <w:rFonts w:hint="eastAsia" w:asciiTheme="minorEastAsia" w:hAnsiTheme="minorEastAsia" w:eastAsiaTheme="minorEastAsia" w:cstheme="minorEastAsia"/>
          <w:b/>
          <w:color w:val="auto"/>
          <w:sz w:val="36"/>
          <w:szCs w:val="36"/>
          <w:highlight w:val="none"/>
          <w:lang w:val="en" w:eastAsia="zh-CN"/>
        </w:rPr>
        <w:t>河南财经政法大学</w:t>
      </w:r>
    </w:p>
    <w:p w14:paraId="178EEAC5">
      <w:pPr>
        <w:pageBreakBefore w:val="0"/>
        <w:wordWrap/>
        <w:topLinePunct w:val="0"/>
        <w:bidi w:val="0"/>
        <w:spacing w:line="360" w:lineRule="auto"/>
        <w:ind w:left="1050" w:leftChars="500"/>
        <w:rPr>
          <w:rFonts w:hint="eastAsia" w:asciiTheme="minorEastAsia" w:hAnsiTheme="minorEastAsia" w:eastAsiaTheme="minorEastAsia" w:cstheme="minorEastAsia"/>
          <w:b/>
          <w:bCs/>
          <w:color w:val="auto"/>
          <w:spacing w:val="56"/>
          <w:sz w:val="36"/>
          <w:szCs w:val="36"/>
          <w:lang w:eastAsia="zh-CN"/>
        </w:rPr>
      </w:pPr>
      <w:r>
        <w:rPr>
          <w:rFonts w:hint="eastAsia" w:asciiTheme="minorEastAsia" w:hAnsiTheme="minorEastAsia" w:eastAsiaTheme="minorEastAsia" w:cstheme="minorEastAsia"/>
          <w:b/>
          <w:color w:val="auto"/>
          <w:sz w:val="36"/>
          <w:szCs w:val="36"/>
          <w:highlight w:val="none"/>
          <w:lang w:eastAsia="zh-CN"/>
        </w:rPr>
        <w:t>集中采购机构：河南省公共资源</w:t>
      </w:r>
      <w:r>
        <w:rPr>
          <w:rFonts w:hint="eastAsia" w:asciiTheme="minorEastAsia" w:hAnsiTheme="minorEastAsia" w:eastAsiaTheme="minorEastAsia" w:cstheme="minorEastAsia"/>
          <w:b/>
          <w:color w:val="auto"/>
          <w:sz w:val="36"/>
          <w:szCs w:val="36"/>
          <w:lang w:eastAsia="zh-CN"/>
        </w:rPr>
        <w:t>交易中心</w:t>
      </w:r>
    </w:p>
    <w:p w14:paraId="198BAF17">
      <w:pPr>
        <w:pageBreakBefore w:val="0"/>
        <w:wordWrap/>
        <w:topLinePunct w:val="0"/>
        <w:bidi w:val="0"/>
        <w:spacing w:line="360" w:lineRule="auto"/>
        <w:jc w:val="center"/>
        <w:rPr>
          <w:rFonts w:hint="eastAsia" w:asciiTheme="minorEastAsia" w:hAnsiTheme="minorEastAsia" w:eastAsiaTheme="minorEastAsia" w:cstheme="minorEastAsia"/>
          <w:b/>
          <w:color w:val="auto"/>
          <w:sz w:val="36"/>
          <w:szCs w:val="36"/>
          <w:lang w:val="en"/>
        </w:rPr>
      </w:pPr>
      <w:r>
        <w:rPr>
          <w:rFonts w:hint="eastAsia" w:asciiTheme="minorEastAsia" w:hAnsiTheme="minorEastAsia" w:eastAsiaTheme="minorEastAsia" w:cstheme="minorEastAsia"/>
          <w:b/>
          <w:bCs/>
          <w:color w:val="auto"/>
          <w:sz w:val="36"/>
          <w:szCs w:val="36"/>
          <w:lang w:val="en" w:eastAsia="zh-CN"/>
        </w:rPr>
        <w:t>202</w:t>
      </w:r>
      <w:r>
        <w:rPr>
          <w:rFonts w:hint="eastAsia" w:asciiTheme="minorEastAsia" w:hAnsiTheme="minorEastAsia" w:eastAsiaTheme="minorEastAsia" w:cstheme="minorEastAsia"/>
          <w:b/>
          <w:bCs/>
          <w:color w:val="auto"/>
          <w:sz w:val="36"/>
          <w:szCs w:val="36"/>
          <w:lang w:val="en-US" w:eastAsia="zh-CN"/>
        </w:rPr>
        <w:t>6</w:t>
      </w:r>
      <w:r>
        <w:rPr>
          <w:rFonts w:hint="eastAsia" w:asciiTheme="minorEastAsia" w:hAnsiTheme="minorEastAsia" w:eastAsiaTheme="minorEastAsia" w:cstheme="minorEastAsia"/>
          <w:b/>
          <w:bCs/>
          <w:color w:val="auto"/>
          <w:sz w:val="36"/>
          <w:szCs w:val="36"/>
          <w:lang w:val="en" w:eastAsia="zh-CN"/>
        </w:rPr>
        <w:t>年</w:t>
      </w:r>
      <w:r>
        <w:rPr>
          <w:rFonts w:hint="eastAsia" w:asciiTheme="minorEastAsia" w:hAnsiTheme="minorEastAsia" w:eastAsiaTheme="minorEastAsia" w:cstheme="minorEastAsia"/>
          <w:b/>
          <w:bCs/>
          <w:strike w:val="0"/>
          <w:dstrike w:val="0"/>
          <w:color w:val="auto"/>
          <w:sz w:val="36"/>
          <w:szCs w:val="36"/>
          <w:highlight w:val="none"/>
          <w:u w:val="none"/>
          <w:lang w:val="en-US" w:eastAsia="zh-CN"/>
        </w:rPr>
        <w:t>1</w:t>
      </w:r>
      <w:r>
        <w:rPr>
          <w:rFonts w:hint="eastAsia" w:asciiTheme="minorEastAsia" w:hAnsiTheme="minorEastAsia" w:eastAsiaTheme="minorEastAsia" w:cstheme="minorEastAsia"/>
          <w:b/>
          <w:bCs/>
          <w:color w:val="auto"/>
          <w:sz w:val="36"/>
          <w:szCs w:val="36"/>
          <w:lang w:val="en" w:eastAsia="zh-CN"/>
        </w:rPr>
        <w:t>月</w:t>
      </w:r>
    </w:p>
    <w:p w14:paraId="6A302B38">
      <w:pPr>
        <w:pageBreakBefore w:val="0"/>
        <w:wordWrap/>
        <w:topLinePunct w:val="0"/>
        <w:bidi w:val="0"/>
        <w:spacing w:line="360" w:lineRule="auto"/>
        <w:jc w:val="center"/>
        <w:rPr>
          <w:rFonts w:hint="eastAsia" w:ascii="仿宋" w:hAnsi="仿宋" w:eastAsia="仿宋" w:cs="仿宋"/>
          <w:b/>
          <w:bCs/>
          <w:color w:val="auto"/>
          <w:sz w:val="48"/>
          <w:szCs w:val="48"/>
          <w:lang w:val="en-US" w:eastAsia="zh-CN"/>
        </w:rPr>
        <w:sectPr>
          <w:pgSz w:w="11900" w:h="16840"/>
          <w:pgMar w:top="1440" w:right="1417" w:bottom="1440" w:left="1417" w:header="851" w:footer="992" w:gutter="0"/>
          <w:pgBorders>
            <w:top w:val="none" w:sz="0" w:space="0"/>
            <w:left w:val="none" w:sz="0" w:space="0"/>
            <w:bottom w:val="none" w:sz="0" w:space="0"/>
            <w:right w:val="none" w:sz="0" w:space="0"/>
          </w:pgBorders>
          <w:cols w:space="720" w:num="1"/>
        </w:sectPr>
      </w:pPr>
    </w:p>
    <w:p w14:paraId="43C61543">
      <w:pPr>
        <w:pageBreakBefore w:val="0"/>
        <w:wordWrap/>
        <w:topLinePunct w:val="0"/>
        <w:bidi w:val="0"/>
        <w:spacing w:line="360" w:lineRule="auto"/>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目 录</w:t>
      </w:r>
    </w:p>
    <w:p w14:paraId="062FF394">
      <w:pPr>
        <w:pStyle w:val="33"/>
        <w:tabs>
          <w:tab w:val="right" w:leader="dot" w:pos="8306"/>
        </w:tabs>
        <w:rPr>
          <w:sz w:val="32"/>
          <w:szCs w:val="32"/>
        </w:rPr>
      </w:pPr>
      <w:bookmarkStart w:id="0" w:name="_Toc349457307"/>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_Toc19452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第一章 投标邀请</w:t>
      </w:r>
      <w:r>
        <w:rPr>
          <w:sz w:val="32"/>
          <w:szCs w:val="32"/>
        </w:rPr>
        <w:tab/>
      </w:r>
      <w:r>
        <w:rPr>
          <w:sz w:val="32"/>
          <w:szCs w:val="32"/>
        </w:rPr>
        <w:fldChar w:fldCharType="begin"/>
      </w:r>
      <w:r>
        <w:rPr>
          <w:sz w:val="32"/>
          <w:szCs w:val="32"/>
        </w:rPr>
        <w:instrText xml:space="preserve"> PAGEREF _Toc19452 \h </w:instrText>
      </w:r>
      <w:r>
        <w:rPr>
          <w:sz w:val="32"/>
          <w:szCs w:val="32"/>
        </w:rPr>
        <w:fldChar w:fldCharType="separate"/>
      </w:r>
      <w:r>
        <w:rPr>
          <w:sz w:val="32"/>
          <w:szCs w:val="32"/>
        </w:rPr>
        <w:t>1</w:t>
      </w:r>
      <w:r>
        <w:rPr>
          <w:sz w:val="32"/>
          <w:szCs w:val="32"/>
        </w:rPr>
        <w:fldChar w:fldCharType="end"/>
      </w:r>
      <w:r>
        <w:rPr>
          <w:rFonts w:hint="eastAsia" w:ascii="仿宋" w:hAnsi="仿宋" w:eastAsia="仿宋" w:cs="仿宋"/>
          <w:sz w:val="32"/>
          <w:szCs w:val="32"/>
        </w:rPr>
        <w:fldChar w:fldCharType="end"/>
      </w:r>
    </w:p>
    <w:p w14:paraId="5F5FB6A4">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_Toc9494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第二章 投标人须知前附表</w:t>
      </w:r>
      <w:r>
        <w:rPr>
          <w:sz w:val="32"/>
          <w:szCs w:val="32"/>
        </w:rPr>
        <w:tab/>
      </w:r>
      <w:r>
        <w:rPr>
          <w:sz w:val="32"/>
          <w:szCs w:val="32"/>
        </w:rPr>
        <w:fldChar w:fldCharType="begin"/>
      </w:r>
      <w:r>
        <w:rPr>
          <w:sz w:val="32"/>
          <w:szCs w:val="32"/>
        </w:rPr>
        <w:instrText xml:space="preserve"> PAGEREF _Toc9494 \h </w:instrText>
      </w:r>
      <w:r>
        <w:rPr>
          <w:sz w:val="32"/>
          <w:szCs w:val="32"/>
        </w:rPr>
        <w:fldChar w:fldCharType="separate"/>
      </w:r>
      <w:r>
        <w:rPr>
          <w:sz w:val="32"/>
          <w:szCs w:val="32"/>
        </w:rPr>
        <w:t>4</w:t>
      </w:r>
      <w:r>
        <w:rPr>
          <w:sz w:val="32"/>
          <w:szCs w:val="32"/>
        </w:rPr>
        <w:fldChar w:fldCharType="end"/>
      </w:r>
      <w:r>
        <w:rPr>
          <w:rFonts w:hint="eastAsia" w:ascii="仿宋" w:hAnsi="仿宋" w:eastAsia="仿宋" w:cs="仿宋"/>
          <w:sz w:val="32"/>
          <w:szCs w:val="32"/>
        </w:rPr>
        <w:fldChar w:fldCharType="end"/>
      </w:r>
    </w:p>
    <w:p w14:paraId="19D6CC34">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_Toc15445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第三章 </w:t>
      </w:r>
      <w:r>
        <w:rPr>
          <w:rFonts w:hint="eastAsia" w:ascii="仿宋" w:hAnsi="仿宋" w:eastAsia="仿宋" w:cs="仿宋"/>
          <w:sz w:val="32"/>
          <w:szCs w:val="32"/>
          <w:lang w:eastAsia="zh-CN"/>
        </w:rPr>
        <w:t>投标人须知</w:t>
      </w:r>
      <w:r>
        <w:rPr>
          <w:sz w:val="32"/>
          <w:szCs w:val="32"/>
        </w:rPr>
        <w:tab/>
      </w:r>
      <w:r>
        <w:rPr>
          <w:sz w:val="32"/>
          <w:szCs w:val="32"/>
        </w:rPr>
        <w:fldChar w:fldCharType="begin"/>
      </w:r>
      <w:r>
        <w:rPr>
          <w:sz w:val="32"/>
          <w:szCs w:val="32"/>
        </w:rPr>
        <w:instrText xml:space="preserve"> PAGEREF _Toc15445 \h </w:instrText>
      </w:r>
      <w:r>
        <w:rPr>
          <w:sz w:val="32"/>
          <w:szCs w:val="32"/>
        </w:rPr>
        <w:fldChar w:fldCharType="separate"/>
      </w:r>
      <w:r>
        <w:rPr>
          <w:sz w:val="32"/>
          <w:szCs w:val="32"/>
        </w:rPr>
        <w:t>11</w:t>
      </w:r>
      <w:r>
        <w:rPr>
          <w:sz w:val="32"/>
          <w:szCs w:val="32"/>
        </w:rPr>
        <w:fldChar w:fldCharType="end"/>
      </w:r>
      <w:r>
        <w:rPr>
          <w:rFonts w:hint="eastAsia" w:ascii="仿宋" w:hAnsi="仿宋" w:eastAsia="仿宋" w:cs="仿宋"/>
          <w:sz w:val="32"/>
          <w:szCs w:val="32"/>
        </w:rPr>
        <w:fldChar w:fldCharType="end"/>
      </w:r>
    </w:p>
    <w:p w14:paraId="688F71B9">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_Toc6755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第四章 </w:t>
      </w:r>
      <w:r>
        <w:rPr>
          <w:rFonts w:hint="eastAsia" w:ascii="仿宋" w:hAnsi="仿宋" w:eastAsia="仿宋" w:cs="仿宋"/>
          <w:sz w:val="32"/>
          <w:szCs w:val="32"/>
          <w:lang w:eastAsia="zh-CN"/>
        </w:rPr>
        <w:t>资格证明文件格式</w:t>
      </w:r>
      <w:r>
        <w:rPr>
          <w:sz w:val="32"/>
          <w:szCs w:val="32"/>
        </w:rPr>
        <w:tab/>
      </w:r>
      <w:r>
        <w:rPr>
          <w:sz w:val="32"/>
          <w:szCs w:val="32"/>
        </w:rPr>
        <w:fldChar w:fldCharType="begin"/>
      </w:r>
      <w:r>
        <w:rPr>
          <w:sz w:val="32"/>
          <w:szCs w:val="32"/>
        </w:rPr>
        <w:instrText xml:space="preserve"> PAGEREF _Toc6755 \h </w:instrText>
      </w:r>
      <w:r>
        <w:rPr>
          <w:sz w:val="32"/>
          <w:szCs w:val="32"/>
        </w:rPr>
        <w:fldChar w:fldCharType="separate"/>
      </w:r>
      <w:r>
        <w:rPr>
          <w:sz w:val="32"/>
          <w:szCs w:val="32"/>
        </w:rPr>
        <w:t>29</w:t>
      </w:r>
      <w:r>
        <w:rPr>
          <w:sz w:val="32"/>
          <w:szCs w:val="32"/>
        </w:rPr>
        <w:fldChar w:fldCharType="end"/>
      </w:r>
      <w:r>
        <w:rPr>
          <w:rFonts w:hint="eastAsia" w:ascii="仿宋" w:hAnsi="仿宋" w:eastAsia="仿宋" w:cs="仿宋"/>
          <w:sz w:val="32"/>
          <w:szCs w:val="32"/>
        </w:rPr>
        <w:fldChar w:fldCharType="end"/>
      </w:r>
    </w:p>
    <w:p w14:paraId="044FD29E">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_Toc12934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第五章 投标文件格式</w:t>
      </w:r>
      <w:r>
        <w:rPr>
          <w:sz w:val="32"/>
          <w:szCs w:val="32"/>
        </w:rPr>
        <w:tab/>
      </w:r>
      <w:r>
        <w:rPr>
          <w:sz w:val="32"/>
          <w:szCs w:val="32"/>
        </w:rPr>
        <w:fldChar w:fldCharType="begin"/>
      </w:r>
      <w:r>
        <w:rPr>
          <w:sz w:val="32"/>
          <w:szCs w:val="32"/>
        </w:rPr>
        <w:instrText xml:space="preserve"> PAGEREF _Toc12934 \h </w:instrText>
      </w:r>
      <w:r>
        <w:rPr>
          <w:sz w:val="32"/>
          <w:szCs w:val="32"/>
        </w:rPr>
        <w:fldChar w:fldCharType="separate"/>
      </w:r>
      <w:r>
        <w:rPr>
          <w:sz w:val="32"/>
          <w:szCs w:val="32"/>
        </w:rPr>
        <w:t>38</w:t>
      </w:r>
      <w:r>
        <w:rPr>
          <w:sz w:val="32"/>
          <w:szCs w:val="32"/>
        </w:rPr>
        <w:fldChar w:fldCharType="end"/>
      </w:r>
      <w:r>
        <w:rPr>
          <w:rFonts w:hint="eastAsia" w:ascii="仿宋" w:hAnsi="仿宋" w:eastAsia="仿宋" w:cs="仿宋"/>
          <w:sz w:val="32"/>
          <w:szCs w:val="32"/>
        </w:rPr>
        <w:fldChar w:fldCharType="end"/>
      </w:r>
    </w:p>
    <w:p w14:paraId="1036036F">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_Toc14885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第六章 项目需求及有关要求</w:t>
      </w:r>
      <w:r>
        <w:rPr>
          <w:sz w:val="32"/>
          <w:szCs w:val="32"/>
        </w:rPr>
        <w:tab/>
      </w:r>
      <w:r>
        <w:rPr>
          <w:sz w:val="32"/>
          <w:szCs w:val="32"/>
        </w:rPr>
        <w:fldChar w:fldCharType="begin"/>
      </w:r>
      <w:r>
        <w:rPr>
          <w:sz w:val="32"/>
          <w:szCs w:val="32"/>
        </w:rPr>
        <w:instrText xml:space="preserve"> PAGEREF _Toc14885 \h </w:instrText>
      </w:r>
      <w:r>
        <w:rPr>
          <w:sz w:val="32"/>
          <w:szCs w:val="32"/>
        </w:rPr>
        <w:fldChar w:fldCharType="separate"/>
      </w:r>
      <w:r>
        <w:rPr>
          <w:sz w:val="32"/>
          <w:szCs w:val="32"/>
        </w:rPr>
        <w:t>53</w:t>
      </w:r>
      <w:r>
        <w:rPr>
          <w:sz w:val="32"/>
          <w:szCs w:val="32"/>
        </w:rPr>
        <w:fldChar w:fldCharType="end"/>
      </w:r>
      <w:r>
        <w:rPr>
          <w:rFonts w:hint="eastAsia" w:ascii="仿宋" w:hAnsi="仿宋" w:eastAsia="仿宋" w:cs="仿宋"/>
          <w:sz w:val="32"/>
          <w:szCs w:val="32"/>
        </w:rPr>
        <w:fldChar w:fldCharType="end"/>
      </w:r>
    </w:p>
    <w:p w14:paraId="368D9D1B">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_Toc15966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第七章 评标方法和标准</w:t>
      </w:r>
      <w:r>
        <w:rPr>
          <w:sz w:val="32"/>
          <w:szCs w:val="32"/>
        </w:rPr>
        <w:tab/>
      </w:r>
      <w:r>
        <w:rPr>
          <w:sz w:val="32"/>
          <w:szCs w:val="32"/>
        </w:rPr>
        <w:fldChar w:fldCharType="begin"/>
      </w:r>
      <w:r>
        <w:rPr>
          <w:sz w:val="32"/>
          <w:szCs w:val="32"/>
        </w:rPr>
        <w:instrText xml:space="preserve"> PAGEREF _Toc15966 \h </w:instrText>
      </w:r>
      <w:r>
        <w:rPr>
          <w:sz w:val="32"/>
          <w:szCs w:val="32"/>
        </w:rPr>
        <w:fldChar w:fldCharType="separate"/>
      </w:r>
      <w:r>
        <w:rPr>
          <w:sz w:val="32"/>
          <w:szCs w:val="32"/>
        </w:rPr>
        <w:t>152</w:t>
      </w:r>
      <w:r>
        <w:rPr>
          <w:sz w:val="32"/>
          <w:szCs w:val="32"/>
        </w:rPr>
        <w:fldChar w:fldCharType="end"/>
      </w:r>
      <w:r>
        <w:rPr>
          <w:rFonts w:hint="eastAsia" w:ascii="仿宋" w:hAnsi="仿宋" w:eastAsia="仿宋" w:cs="仿宋"/>
          <w:sz w:val="32"/>
          <w:szCs w:val="32"/>
        </w:rPr>
        <w:fldChar w:fldCharType="end"/>
      </w:r>
    </w:p>
    <w:p w14:paraId="5A7BE37B">
      <w:pPr>
        <w:pStyle w:val="33"/>
        <w:tabs>
          <w:tab w:val="right" w:leader="dot" w:pos="8306"/>
        </w:tabs>
        <w:rPr>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_Toc32485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第八章 </w:t>
      </w:r>
      <w:r>
        <w:rPr>
          <w:rFonts w:hint="eastAsia" w:ascii="仿宋" w:hAnsi="仿宋" w:eastAsia="仿宋" w:cs="仿宋"/>
          <w:sz w:val="32"/>
          <w:szCs w:val="32"/>
        </w:rPr>
        <w:t>政府采购合同</w:t>
      </w:r>
      <w:r>
        <w:rPr>
          <w:sz w:val="32"/>
          <w:szCs w:val="32"/>
        </w:rPr>
        <w:tab/>
      </w:r>
      <w:r>
        <w:rPr>
          <w:sz w:val="32"/>
          <w:szCs w:val="32"/>
        </w:rPr>
        <w:fldChar w:fldCharType="begin"/>
      </w:r>
      <w:r>
        <w:rPr>
          <w:sz w:val="32"/>
          <w:szCs w:val="32"/>
        </w:rPr>
        <w:instrText xml:space="preserve"> PAGEREF _Toc32485 \h </w:instrText>
      </w:r>
      <w:r>
        <w:rPr>
          <w:sz w:val="32"/>
          <w:szCs w:val="32"/>
        </w:rPr>
        <w:fldChar w:fldCharType="separate"/>
      </w:r>
      <w:r>
        <w:rPr>
          <w:sz w:val="32"/>
          <w:szCs w:val="32"/>
        </w:rPr>
        <w:t>157</w:t>
      </w:r>
      <w:r>
        <w:rPr>
          <w:sz w:val="32"/>
          <w:szCs w:val="32"/>
        </w:rPr>
        <w:fldChar w:fldCharType="end"/>
      </w:r>
      <w:r>
        <w:rPr>
          <w:rFonts w:hint="eastAsia" w:ascii="仿宋" w:hAnsi="仿宋" w:eastAsia="仿宋" w:cs="仿宋"/>
          <w:sz w:val="32"/>
          <w:szCs w:val="32"/>
        </w:rPr>
        <w:fldChar w:fldCharType="end"/>
      </w:r>
    </w:p>
    <w:p w14:paraId="6992E826">
      <w:pPr>
        <w:pageBreakBefore w:val="0"/>
        <w:wordWrap/>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fldChar w:fldCharType="end"/>
      </w:r>
    </w:p>
    <w:p w14:paraId="7A7B5DE6">
      <w:pPr>
        <w:pStyle w:val="6"/>
        <w:pageBreakBefore w:val="0"/>
        <w:wordWrap/>
        <w:topLinePunct w:val="0"/>
        <w:bidi w:val="0"/>
        <w:spacing w:before="0" w:after="0" w:line="360" w:lineRule="auto"/>
        <w:jc w:val="center"/>
        <w:rPr>
          <w:rFonts w:hint="eastAsia" w:ascii="仿宋" w:hAnsi="仿宋" w:eastAsia="仿宋" w:cs="仿宋"/>
          <w:color w:val="auto"/>
          <w:sz w:val="36"/>
          <w:szCs w:val="36"/>
          <w:lang w:eastAsia="zh-CN"/>
        </w:rPr>
        <w:sectPr>
          <w:footerReference r:id="rId3" w:type="default"/>
          <w:pgSz w:w="11900" w:h="16840"/>
          <w:pgMar w:top="1440" w:right="1797" w:bottom="1440" w:left="1797" w:header="851" w:footer="992" w:gutter="0"/>
          <w:pgBorders>
            <w:top w:val="none" w:sz="0" w:space="0"/>
            <w:left w:val="none" w:sz="0" w:space="0"/>
            <w:bottom w:val="none" w:sz="0" w:space="0"/>
            <w:right w:val="none" w:sz="0" w:space="0"/>
          </w:pgBorders>
          <w:pgNumType w:start="1"/>
          <w:cols w:space="720" w:num="1"/>
        </w:sectPr>
      </w:pPr>
      <w:bookmarkStart w:id="1" w:name="_Toc1592953130"/>
      <w:bookmarkStart w:id="2" w:name="_Toc36262373_WPSOffice_Level1"/>
      <w:bookmarkStart w:id="3" w:name="_Toc968113947"/>
      <w:bookmarkStart w:id="4" w:name="_Toc932735091"/>
      <w:bookmarkStart w:id="5" w:name="_Toc1664555187_WPSOffice_Level1"/>
      <w:bookmarkStart w:id="6" w:name="_Toc1877678980_WPSOffice_Level1"/>
      <w:bookmarkStart w:id="7" w:name="_Toc1076329457"/>
      <w:bookmarkStart w:id="8" w:name="_Toc1997956478"/>
      <w:bookmarkStart w:id="9" w:name="_Toc774922682"/>
      <w:bookmarkStart w:id="10" w:name="_Toc1788225408"/>
      <w:bookmarkStart w:id="11" w:name="_Toc175269916"/>
      <w:bookmarkStart w:id="12" w:name="_Toc471743684"/>
      <w:bookmarkStart w:id="13" w:name="_Toc1232167429_WPSOffice_Level1"/>
      <w:bookmarkStart w:id="14" w:name="_Toc424031016"/>
      <w:bookmarkStart w:id="15" w:name="_Toc1306098204"/>
      <w:bookmarkStart w:id="16" w:name="_Toc1980840421"/>
      <w:bookmarkStart w:id="17" w:name="_Toc2103182066_WPSOffice_Level1"/>
      <w:bookmarkStart w:id="18" w:name="_Toc729479254"/>
      <w:bookmarkStart w:id="19" w:name="_Toc1767733431"/>
    </w:p>
    <w:p w14:paraId="43CB7EDB">
      <w:pPr>
        <w:pStyle w:val="6"/>
        <w:pageBreakBefore w:val="0"/>
        <w:wordWrap/>
        <w:topLinePunct w:val="0"/>
        <w:bidi w:val="0"/>
        <w:spacing w:before="0" w:after="0" w:line="360" w:lineRule="auto"/>
        <w:jc w:val="center"/>
        <w:rPr>
          <w:rFonts w:hint="eastAsia" w:ascii="仿宋" w:hAnsi="仿宋" w:eastAsia="仿宋" w:cs="仿宋"/>
          <w:color w:val="auto"/>
          <w:sz w:val="36"/>
          <w:szCs w:val="36"/>
          <w:lang w:eastAsia="zh-CN"/>
        </w:rPr>
      </w:pPr>
      <w:bookmarkStart w:id="20" w:name="_Toc19452"/>
      <w:r>
        <w:rPr>
          <w:rFonts w:hint="eastAsia" w:ascii="仿宋" w:hAnsi="仿宋" w:eastAsia="仿宋" w:cs="仿宋"/>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6"/>
          <w:szCs w:val="36"/>
          <w:lang w:eastAsia="zh-CN"/>
        </w:rPr>
        <w:t>投标邀请</w:t>
      </w:r>
      <w:bookmarkEnd w:id="15"/>
      <w:bookmarkEnd w:id="16"/>
      <w:bookmarkEnd w:id="17"/>
      <w:bookmarkEnd w:id="18"/>
      <w:bookmarkEnd w:id="19"/>
      <w:bookmarkEnd w:id="20"/>
    </w:p>
    <w:p w14:paraId="62426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lang w:eastAsia="zh-CN"/>
        </w:rPr>
      </w:pPr>
      <w:bookmarkStart w:id="21" w:name="_Toc940675556_WPSOffice_Level2"/>
      <w:r>
        <w:rPr>
          <w:rFonts w:hint="eastAsia" w:ascii="仿宋" w:hAnsi="仿宋" w:eastAsia="仿宋" w:cs="仿宋"/>
          <w:b/>
          <w:color w:val="auto"/>
          <w:sz w:val="32"/>
          <w:szCs w:val="32"/>
          <w:lang w:val="en" w:eastAsia="zh-CN"/>
        </w:rPr>
        <w:t>河南财经政法大学郑东校区物业服务项目</w:t>
      </w:r>
      <w:r>
        <w:rPr>
          <w:rFonts w:hint="eastAsia" w:ascii="仿宋" w:hAnsi="仿宋" w:eastAsia="仿宋" w:cs="仿宋"/>
          <w:b/>
          <w:color w:val="auto"/>
          <w:sz w:val="32"/>
          <w:szCs w:val="32"/>
          <w:lang w:eastAsia="zh-CN"/>
        </w:rPr>
        <w:t>-公开招标公告</w:t>
      </w:r>
      <w:bookmarkEnd w:id="2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EE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5C4335BB">
            <w:pPr>
              <w:pStyle w:val="224"/>
              <w:spacing w:line="360" w:lineRule="auto"/>
              <w:ind w:left="0" w:leftChars="0" w:firstLine="562" w:firstLineChars="200"/>
              <w:rPr>
                <w:rFonts w:ascii="仿宋_GB2312" w:hAnsi="仿宋_GB2312" w:eastAsia="仿宋_GB2312" w:cs="仿宋_GB2312"/>
                <w:b/>
                <w:bCs/>
                <w:sz w:val="28"/>
                <w:szCs w:val="28"/>
              </w:rPr>
            </w:pPr>
            <w:bookmarkStart w:id="22" w:name="_Toc2031125453_WPSOffice_Level2"/>
            <w:bookmarkStart w:id="23" w:name="_Toc1649568961_WPSOffice_Level2"/>
            <w:bookmarkStart w:id="24" w:name="_Toc1811351892_WPSOffice_Level2"/>
            <w:bookmarkStart w:id="25" w:name="_Toc1853601844_WPSOffice_Level2"/>
            <w:bookmarkStart w:id="26" w:name="_Toc1456310841_WPSOffice_Level2"/>
            <w:r>
              <w:rPr>
                <w:rFonts w:hint="eastAsia" w:ascii="仿宋_GB2312" w:hAnsi="仿宋_GB2312" w:eastAsia="仿宋_GB2312" w:cs="仿宋_GB2312"/>
                <w:b/>
                <w:bCs/>
                <w:sz w:val="28"/>
                <w:szCs w:val="28"/>
              </w:rPr>
              <w:t>项目概况</w:t>
            </w:r>
          </w:p>
          <w:p w14:paraId="5D7F0F97">
            <w:pPr>
              <w:pageBreakBefore w:val="0"/>
              <w:wordWrap/>
              <w:topLinePunct w:val="0"/>
              <w:bidi w:val="0"/>
              <w:spacing w:line="360" w:lineRule="auto"/>
              <w:ind w:firstLine="562" w:firstLineChars="200"/>
              <w:jc w:val="both"/>
              <w:rPr>
                <w:rFonts w:hint="eastAsia" w:ascii="仿宋" w:hAnsi="仿宋" w:eastAsia="仿宋" w:cs="仿宋"/>
                <w:b/>
                <w:bCs/>
                <w:color w:val="auto"/>
                <w:sz w:val="28"/>
                <w:szCs w:val="28"/>
                <w:vertAlign w:val="baseline"/>
                <w:lang w:eastAsia="zh-CN"/>
              </w:rPr>
            </w:pPr>
            <w:r>
              <w:rPr>
                <w:rFonts w:hint="eastAsia" w:ascii="仿宋_GB2312" w:hAnsi="仿宋_GB2312" w:eastAsia="仿宋_GB2312" w:cs="仿宋_GB2312"/>
                <w:b/>
                <w:bCs/>
                <w:sz w:val="28"/>
                <w:szCs w:val="28"/>
                <w:u w:val="single"/>
                <w:lang w:eastAsia="zh-CN"/>
              </w:rPr>
              <w:t>河南财经政法大学郑东校区物业服务项目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rPr>
                <w:color w:val="auto"/>
              </w:rPr>
              <w:fldChar w:fldCharType="begin"/>
            </w:r>
            <w:r>
              <w:rPr>
                <w:color w:val="auto"/>
              </w:rPr>
              <w:instrText xml:space="preserve"> HYPERLINK "http://www.hnggzy.net）获取招标文件，并于2024年11月" </w:instrText>
            </w:r>
            <w:r>
              <w:rPr>
                <w:color w:val="auto"/>
              </w:rPr>
              <w:fldChar w:fldCharType="separate"/>
            </w:r>
            <w:r>
              <w:rPr>
                <w:rStyle w:val="64"/>
                <w:rFonts w:hint="eastAsia" w:ascii="仿宋_GB2312" w:hAnsi="仿宋_GB2312" w:eastAsia="仿宋_GB2312" w:cs="仿宋_GB2312"/>
                <w:b/>
                <w:bCs/>
                <w:color w:val="auto"/>
                <w:sz w:val="28"/>
                <w:szCs w:val="28"/>
                <w:lang w:eastAsia="zh-CN"/>
              </w:rPr>
              <w:t>hnsggzyjy.henan.gov.cn</w:t>
            </w:r>
            <w:r>
              <w:rPr>
                <w:rStyle w:val="64"/>
                <w:rFonts w:hint="eastAsia" w:ascii="仿宋_GB2312" w:hAnsi="仿宋_GB2312" w:eastAsia="仿宋_GB2312" w:cs="仿宋_GB2312"/>
                <w:b/>
                <w:bCs/>
                <w:color w:val="auto"/>
                <w:sz w:val="28"/>
                <w:szCs w:val="28"/>
              </w:rPr>
              <w:t>）</w:t>
            </w:r>
            <w:r>
              <w:rPr>
                <w:rStyle w:val="64"/>
                <w:rFonts w:hint="eastAsia" w:ascii="仿宋_GB2312" w:hAnsi="仿宋_GB2312" w:eastAsia="仿宋_GB2312" w:cs="仿宋_GB2312"/>
                <w:color w:val="auto"/>
                <w:sz w:val="28"/>
                <w:szCs w:val="28"/>
              </w:rPr>
              <w:t>获取招标文件，并于</w:t>
            </w:r>
            <w:r>
              <w:rPr>
                <w:rStyle w:val="64"/>
                <w:rFonts w:ascii="仿宋_GB2312" w:hAnsi="仿宋_GB2312" w:eastAsia="仿宋_GB2312" w:cs="仿宋_GB2312"/>
                <w:b/>
                <w:bCs/>
                <w:color w:val="auto"/>
                <w:sz w:val="28"/>
                <w:szCs w:val="28"/>
                <w:lang w:val="en"/>
              </w:rPr>
              <w:t>202</w:t>
            </w:r>
            <w:r>
              <w:rPr>
                <w:rStyle w:val="64"/>
                <w:rFonts w:hint="eastAsia" w:ascii="仿宋_GB2312" w:hAnsi="仿宋_GB2312" w:eastAsia="仿宋_GB2312" w:cs="仿宋_GB2312"/>
                <w:b/>
                <w:bCs/>
                <w:color w:val="auto"/>
                <w:sz w:val="28"/>
                <w:szCs w:val="28"/>
                <w:lang w:val="en-US" w:eastAsia="zh-CN"/>
              </w:rPr>
              <w:t>6</w:t>
            </w:r>
            <w:r>
              <w:rPr>
                <w:rStyle w:val="64"/>
                <w:rFonts w:ascii="仿宋_GB2312" w:hAnsi="仿宋_GB2312" w:eastAsia="仿宋_GB2312" w:cs="仿宋_GB2312"/>
                <w:b/>
                <w:bCs/>
                <w:color w:val="auto"/>
                <w:sz w:val="28"/>
                <w:szCs w:val="28"/>
                <w:lang w:val="en"/>
              </w:rPr>
              <w:t>年</w:t>
            </w:r>
            <w:r>
              <w:rPr>
                <w:rStyle w:val="64"/>
                <w:rFonts w:hint="eastAsia" w:ascii="仿宋_GB2312" w:hAnsi="仿宋_GB2312" w:eastAsia="仿宋_GB2312" w:cs="仿宋_GB2312"/>
                <w:b/>
                <w:bCs/>
                <w:color w:val="auto"/>
                <w:sz w:val="28"/>
                <w:szCs w:val="28"/>
                <w:lang w:val="en-US" w:eastAsia="zh-CN"/>
              </w:rPr>
              <w:t>2</w:t>
            </w:r>
            <w:r>
              <w:rPr>
                <w:rStyle w:val="64"/>
                <w:rFonts w:ascii="仿宋_GB2312" w:hAnsi="仿宋_GB2312" w:eastAsia="仿宋_GB2312" w:cs="仿宋_GB2312"/>
                <w:b/>
                <w:bCs/>
                <w:color w:val="auto"/>
                <w:sz w:val="28"/>
                <w:szCs w:val="28"/>
                <w:lang w:val="en"/>
              </w:rPr>
              <w:t>月</w:t>
            </w:r>
            <w:r>
              <w:rPr>
                <w:rStyle w:val="64"/>
                <w:rFonts w:ascii="仿宋_GB2312" w:hAnsi="仿宋_GB2312" w:eastAsia="仿宋_GB2312" w:cs="仿宋_GB2312"/>
                <w:b/>
                <w:bCs/>
                <w:color w:val="auto"/>
                <w:sz w:val="28"/>
                <w:szCs w:val="28"/>
                <w:lang w:val="en"/>
              </w:rPr>
              <w:fldChar w:fldCharType="end"/>
            </w:r>
            <w:r>
              <w:rPr>
                <w:rFonts w:hint="eastAsia" w:ascii="仿宋_GB2312" w:hAnsi="仿宋_GB2312" w:eastAsia="仿宋_GB2312" w:cs="仿宋_GB2312"/>
                <w:b/>
                <w:bCs/>
                <w:color w:val="auto"/>
                <w:sz w:val="28"/>
                <w:szCs w:val="28"/>
                <w:u w:val="single"/>
                <w:lang w:val="en-US" w:eastAsia="zh-CN"/>
              </w:rPr>
              <w:t>11</w:t>
            </w:r>
            <w:r>
              <w:rPr>
                <w:rFonts w:hint="eastAsia" w:ascii="仿宋_GB2312" w:hAnsi="仿宋_GB2312" w:eastAsia="仿宋_GB2312" w:cs="仿宋_GB2312"/>
                <w:b/>
                <w:bCs/>
                <w:color w:val="auto"/>
                <w:sz w:val="28"/>
                <w:szCs w:val="28"/>
                <w:u w:val="single"/>
              </w:rPr>
              <w:t>日</w:t>
            </w:r>
            <w:r>
              <w:rPr>
                <w:rFonts w:hint="eastAsia" w:ascii="仿宋_GB2312" w:hAnsi="仿宋_GB2312" w:eastAsia="仿宋_GB2312" w:cs="仿宋_GB2312"/>
                <w:b/>
                <w:bCs/>
                <w:sz w:val="28"/>
                <w:szCs w:val="28"/>
                <w:u w:val="single"/>
              </w:rPr>
              <w:t>09时00分（北京时间）</w:t>
            </w:r>
            <w:r>
              <w:rPr>
                <w:rFonts w:hint="eastAsia" w:ascii="仿宋_GB2312" w:hAnsi="仿宋_GB2312" w:eastAsia="仿宋_GB2312" w:cs="仿宋_GB2312"/>
                <w:sz w:val="28"/>
                <w:szCs w:val="28"/>
              </w:rPr>
              <w:t>前递交投标文件。</w:t>
            </w:r>
          </w:p>
        </w:tc>
      </w:tr>
    </w:tbl>
    <w:p w14:paraId="63BC70F7">
      <w:pPr>
        <w:pageBreakBefore w:val="0"/>
        <w:wordWrap/>
        <w:topLinePunct w:val="0"/>
        <w:bidi w:val="0"/>
        <w:spacing w:line="360" w:lineRule="auto"/>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一、项目基本情况</w:t>
      </w:r>
      <w:bookmarkEnd w:id="22"/>
      <w:bookmarkEnd w:id="23"/>
      <w:bookmarkEnd w:id="24"/>
      <w:bookmarkEnd w:id="25"/>
      <w:bookmarkEnd w:id="26"/>
    </w:p>
    <w:p w14:paraId="48390D8D">
      <w:pPr>
        <w:pageBreakBefore w:val="0"/>
        <w:wordWrap/>
        <w:topLinePunct w:val="0"/>
        <w:bidi w:val="0"/>
        <w:spacing w:line="360" w:lineRule="auto"/>
        <w:jc w:val="left"/>
        <w:rPr>
          <w:rFonts w:hint="eastAsia" w:ascii="仿宋" w:hAnsi="仿宋" w:eastAsia="仿宋" w:cs="仿宋"/>
          <w:color w:val="FF0000"/>
          <w:sz w:val="28"/>
          <w:szCs w:val="28"/>
          <w:lang w:val="en" w:eastAsia="zh-CN"/>
        </w:rPr>
      </w:pPr>
      <w:bookmarkStart w:id="27" w:name="_Toc712505010_WPSOffice_Level3"/>
      <w:bookmarkStart w:id="28" w:name="_Toc632830029_WPSOffice_Level3"/>
      <w:bookmarkStart w:id="29" w:name="_Toc120342159_WPSOffice_Level3"/>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项目编号：</w:t>
      </w:r>
      <w:bookmarkEnd w:id="27"/>
      <w:bookmarkEnd w:id="28"/>
      <w:bookmarkEnd w:id="29"/>
      <w:r>
        <w:rPr>
          <w:rFonts w:hint="eastAsia" w:ascii="仿宋" w:hAnsi="仿宋" w:eastAsia="仿宋" w:cs="仿宋"/>
          <w:color w:val="auto"/>
          <w:sz w:val="28"/>
          <w:szCs w:val="28"/>
          <w:lang w:eastAsia="zh-CN"/>
        </w:rPr>
        <w:t>豫财招标采购-2025-1739</w:t>
      </w:r>
    </w:p>
    <w:p w14:paraId="5EAE75DF">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30" w:name="_Toc1461506997_WPSOffice_Level3"/>
      <w:bookmarkStart w:id="31" w:name="_Toc2136105441_WPSOffice_Level3"/>
      <w:bookmarkStart w:id="32" w:name="_Toc1019416_WPSOffice_Level3"/>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项目名称：</w:t>
      </w:r>
      <w:bookmarkEnd w:id="30"/>
      <w:bookmarkEnd w:id="31"/>
      <w:bookmarkEnd w:id="32"/>
      <w:r>
        <w:rPr>
          <w:rFonts w:hint="eastAsia" w:ascii="仿宋" w:hAnsi="仿宋" w:eastAsia="仿宋" w:cs="仿宋"/>
          <w:color w:val="auto"/>
          <w:sz w:val="28"/>
          <w:szCs w:val="28"/>
          <w:lang w:val="en" w:eastAsia="zh-CN"/>
        </w:rPr>
        <w:t>河南财经政法大学郑东校区物业服务项目</w:t>
      </w:r>
    </w:p>
    <w:p w14:paraId="599FB340">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3" w:name="_Toc1350258088_WPSOffice_Level3"/>
      <w:bookmarkStart w:id="34" w:name="_Toc997609044_WPSOffice_Level3"/>
      <w:bookmarkStart w:id="35" w:name="_Toc1331877378_WPSOffice_Level3"/>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采购方式：公开招标</w:t>
      </w:r>
      <w:bookmarkEnd w:id="33"/>
      <w:bookmarkEnd w:id="34"/>
      <w:bookmarkEnd w:id="35"/>
    </w:p>
    <w:p w14:paraId="4A25461B">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6" w:name="_Toc654106674_WPSOffice_Level3"/>
      <w:bookmarkStart w:id="37" w:name="_Toc91128674_WPSOffice_Level3"/>
      <w:bookmarkStart w:id="38" w:name="_Toc2510158_WPSOffice_Level3"/>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预算金额：11873400元</w:t>
      </w:r>
      <w:bookmarkEnd w:id="36"/>
      <w:bookmarkEnd w:id="37"/>
      <w:bookmarkEnd w:id="38"/>
    </w:p>
    <w:p w14:paraId="5FAD36E9">
      <w:pPr>
        <w:pageBreakBefore w:val="0"/>
        <w:wordWrap/>
        <w:topLinePunct w:val="0"/>
        <w:bidi w:val="0"/>
        <w:spacing w:line="360" w:lineRule="auto"/>
        <w:ind w:firstLine="280" w:firstLineChars="1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最高限价：11873400元</w:t>
      </w:r>
    </w:p>
    <w:tbl>
      <w:tblPr>
        <w:tblStyle w:val="53"/>
        <w:tblW w:w="94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611"/>
        <w:gridCol w:w="2952"/>
        <w:gridCol w:w="2791"/>
        <w:gridCol w:w="1500"/>
        <w:gridCol w:w="1640"/>
      </w:tblGrid>
      <w:tr w14:paraId="466B58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7F87335">
            <w:pPr>
              <w:pageBreakBefore w:val="0"/>
              <w:wordWrap/>
              <w:topLinePunct w:val="0"/>
              <w:bidi w:val="0"/>
              <w:spacing w:line="360" w:lineRule="auto"/>
              <w:jc w:val="center"/>
              <w:rPr>
                <w:rFonts w:hint="eastAsia" w:ascii="仿宋" w:hAnsi="仿宋" w:eastAsia="仿宋" w:cs="仿宋"/>
                <w:color w:val="auto"/>
                <w:kern w:val="0"/>
                <w:sz w:val="28"/>
                <w:szCs w:val="28"/>
              </w:rPr>
            </w:pPr>
            <w:bookmarkStart w:id="39" w:name="_Toc1585577024_WPSOffice_Level3"/>
            <w:bookmarkStart w:id="40" w:name="_Toc530655014_WPSOffice_Level3"/>
            <w:bookmarkStart w:id="41" w:name="_Toc1882423541_WPSOffice_Level3"/>
            <w:r>
              <w:rPr>
                <w:rFonts w:hint="eastAsia" w:ascii="仿宋" w:hAnsi="仿宋" w:eastAsia="仿宋" w:cs="仿宋"/>
                <w:color w:val="auto"/>
                <w:kern w:val="0"/>
                <w:sz w:val="28"/>
                <w:szCs w:val="28"/>
              </w:rPr>
              <w:t>序号</w:t>
            </w:r>
          </w:p>
        </w:tc>
        <w:tc>
          <w:tcPr>
            <w:tcW w:w="295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C161AF4">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包号</w:t>
            </w:r>
          </w:p>
        </w:tc>
        <w:tc>
          <w:tcPr>
            <w:tcW w:w="27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1A8393B">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包名称</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3D4C7F8">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包预算（元）</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AE1BDCF">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包最高限价（元）</w:t>
            </w:r>
          </w:p>
        </w:tc>
      </w:tr>
      <w:tr w14:paraId="238C20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5615B97">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rPr>
              <w:t>1</w:t>
            </w:r>
          </w:p>
        </w:tc>
        <w:tc>
          <w:tcPr>
            <w:tcW w:w="295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B756834">
            <w:pPr>
              <w:pageBreakBefore w:val="0"/>
              <w:wordWrap/>
              <w:topLinePunct w:val="0"/>
              <w:bidi w:val="0"/>
              <w:spacing w:line="360" w:lineRule="auto"/>
              <w:jc w:val="center"/>
              <w:rPr>
                <w:rFonts w:hint="eastAsia" w:ascii="仿宋" w:hAnsi="仿宋" w:eastAsia="仿宋" w:cs="仿宋"/>
                <w:b w:val="0"/>
                <w:bCs w:val="0"/>
                <w:color w:val="auto"/>
                <w:kern w:val="0"/>
                <w:sz w:val="28"/>
                <w:szCs w:val="28"/>
                <w:lang w:val="en-US"/>
              </w:rPr>
            </w:pPr>
            <w:r>
              <w:rPr>
                <w:rFonts w:hint="eastAsia" w:ascii="仿宋" w:hAnsi="仿宋" w:eastAsia="仿宋" w:cs="仿宋"/>
                <w:b w:val="0"/>
                <w:bCs w:val="0"/>
                <w:color w:val="auto"/>
                <w:kern w:val="0"/>
                <w:sz w:val="28"/>
                <w:szCs w:val="28"/>
                <w:lang w:val="en-US"/>
              </w:rPr>
              <w:t>豫政采(1)20260013-1</w:t>
            </w:r>
          </w:p>
        </w:tc>
        <w:tc>
          <w:tcPr>
            <w:tcW w:w="27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05B8700">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 w:eastAsia="zh-CN"/>
              </w:rPr>
              <w:t>河南财经政法大学郑东校区物业服务项目</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2C0EC87">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sz w:val="28"/>
                <w:szCs w:val="28"/>
                <w:lang w:eastAsia="zh-CN"/>
              </w:rPr>
              <w:t>11873400</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2655772">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sz w:val="28"/>
                <w:szCs w:val="28"/>
                <w:lang w:eastAsia="zh-CN"/>
              </w:rPr>
              <w:t>11873400</w:t>
            </w:r>
          </w:p>
        </w:tc>
      </w:tr>
    </w:tbl>
    <w:p w14:paraId="2DE3496D">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5.采购需求（包括但不限于标的的名称、数量、简要技术需求或服务要求等）</w:t>
      </w:r>
      <w:bookmarkEnd w:id="39"/>
      <w:bookmarkEnd w:id="40"/>
      <w:bookmarkEnd w:id="41"/>
    </w:p>
    <w:p w14:paraId="7E5D8DFC">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（1）本项目共1个包；</w:t>
      </w:r>
    </w:p>
    <w:p w14:paraId="6E82C465">
      <w:pPr>
        <w:pageBreakBefore w:val="0"/>
        <w:wordWrap/>
        <w:topLinePunct w:val="0"/>
        <w:bidi w:val="0"/>
        <w:spacing w:line="360" w:lineRule="auto"/>
        <w:jc w:val="both"/>
        <w:rPr>
          <w:rFonts w:hint="default" w:ascii="仿宋" w:hAnsi="仿宋" w:eastAsia="Arial Unicode MS" w:cs="仿宋"/>
          <w:color w:val="auto"/>
          <w:sz w:val="28"/>
          <w:szCs w:val="28"/>
          <w:highlight w:val="none"/>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highlight w:val="none"/>
          <w:lang w:val="en-US" w:eastAsia="zh-CN"/>
        </w:rPr>
        <w:t>采购内容：河南财经政法大学郑东校区保洁服务、基本大伙食堂保洁服务、维修维护服务、绿化养护服务、学生公寓管理服务、秩序维护服务</w:t>
      </w:r>
      <w:r>
        <w:rPr>
          <w:rFonts w:hint="eastAsia" w:ascii="仿宋" w:hAnsi="仿宋" w:eastAsia="仿宋" w:cs="仿宋"/>
          <w:color w:val="auto"/>
          <w:sz w:val="28"/>
          <w:szCs w:val="28"/>
          <w:highlight w:val="none"/>
          <w:lang w:val="en" w:eastAsia="zh-CN"/>
        </w:rPr>
        <w:t>；</w:t>
      </w:r>
      <w:r>
        <w:rPr>
          <w:rFonts w:hint="eastAsia" w:ascii="仿宋" w:hAnsi="仿宋" w:eastAsia="仿宋" w:cs="仿宋"/>
          <w:color w:val="auto"/>
          <w:sz w:val="28"/>
          <w:szCs w:val="28"/>
          <w:highlight w:val="none"/>
          <w:lang w:val="en-US" w:eastAsia="zh-CN"/>
        </w:rPr>
        <w:t>人员配备不低于262人；</w:t>
      </w:r>
    </w:p>
    <w:p w14:paraId="4D7E28A9">
      <w:pPr>
        <w:pageBreakBefore w:val="0"/>
        <w:wordWrap/>
        <w:topLinePunct w:val="0"/>
        <w:bidi w:val="0"/>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（3）服务期限：1年；</w:t>
      </w:r>
    </w:p>
    <w:p w14:paraId="52806B29">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（4）服务地点：</w:t>
      </w:r>
      <w:bookmarkStart w:id="42" w:name="_Toc1866155745_WPSOffice_Level3"/>
      <w:r>
        <w:rPr>
          <w:rFonts w:hint="eastAsia" w:ascii="仿宋" w:hAnsi="仿宋" w:eastAsia="仿宋" w:cs="仿宋"/>
          <w:color w:val="auto"/>
          <w:sz w:val="28"/>
          <w:szCs w:val="28"/>
          <w:lang w:val="en-US" w:eastAsia="zh-CN"/>
        </w:rPr>
        <w:t>河南财经政法大学郑东校区（郑州市金水东路180号）</w:t>
      </w:r>
      <w:r>
        <w:rPr>
          <w:rFonts w:hint="eastAsia" w:ascii="仿宋" w:hAnsi="仿宋" w:eastAsia="仿宋" w:cs="仿宋"/>
          <w:color w:val="auto"/>
          <w:sz w:val="28"/>
          <w:szCs w:val="28"/>
          <w:highlight w:val="none"/>
          <w:lang w:val="en-US" w:eastAsia="zh-CN"/>
        </w:rPr>
        <w:t>；</w:t>
      </w:r>
    </w:p>
    <w:p w14:paraId="21BB1B49">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（5）服务质量：满足采购人需求</w:t>
      </w:r>
      <w:bookmarkStart w:id="43" w:name="_Toc1031072132_WPSOffice_Level3"/>
      <w:r>
        <w:rPr>
          <w:rFonts w:hint="eastAsia" w:ascii="仿宋" w:hAnsi="仿宋" w:eastAsia="仿宋" w:cs="仿宋"/>
          <w:color w:val="auto"/>
          <w:sz w:val="28"/>
          <w:szCs w:val="28"/>
          <w:lang w:val="en-US" w:eastAsia="zh-CN"/>
        </w:rPr>
        <w:t>。</w:t>
      </w:r>
    </w:p>
    <w:p w14:paraId="5B4AA7E4">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4" w:name="_Toc1826742135_WPSOffice_Level3"/>
      <w:r>
        <w:rPr>
          <w:rFonts w:hint="eastAsia" w:ascii="仿宋" w:hAnsi="仿宋" w:eastAsia="仿宋" w:cs="仿宋"/>
          <w:color w:val="auto"/>
          <w:sz w:val="28"/>
          <w:szCs w:val="28"/>
          <w:lang w:val="en-US" w:eastAsia="zh-CN"/>
        </w:rPr>
        <w:t>6.合同履行期限</w:t>
      </w:r>
      <w:bookmarkEnd w:id="42"/>
      <w:bookmarkEnd w:id="43"/>
      <w:bookmarkEnd w:id="44"/>
      <w:r>
        <w:rPr>
          <w:rFonts w:hint="eastAsia" w:ascii="仿宋" w:hAnsi="仿宋" w:eastAsia="仿宋" w:cs="仿宋"/>
          <w:color w:val="auto"/>
          <w:sz w:val="28"/>
          <w:szCs w:val="28"/>
          <w:lang w:val="en-US" w:eastAsia="zh-CN"/>
        </w:rPr>
        <w:t>：同服务期限</w:t>
      </w:r>
    </w:p>
    <w:p w14:paraId="0726024A">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5" w:name="_Toc1547155158_WPSOffice_Level3"/>
      <w:bookmarkStart w:id="46" w:name="_Toc804008546_WPSOffice_Level3"/>
      <w:bookmarkStart w:id="47" w:name="_Toc634119560_WPSOffice_Level3"/>
      <w:r>
        <w:rPr>
          <w:rFonts w:hint="eastAsia" w:ascii="仿宋" w:hAnsi="仿宋" w:eastAsia="仿宋" w:cs="仿宋"/>
          <w:color w:val="auto"/>
          <w:sz w:val="28"/>
          <w:szCs w:val="28"/>
          <w:lang w:val="en-US" w:eastAsia="zh-CN"/>
        </w:rPr>
        <w:t>7.本项目是否接受联合体投标：否</w:t>
      </w:r>
      <w:bookmarkEnd w:id="45"/>
      <w:bookmarkEnd w:id="46"/>
      <w:bookmarkEnd w:id="47"/>
    </w:p>
    <w:p w14:paraId="04182C27">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48" w:name="_Toc1454916570_WPSOffice_Level3"/>
      <w:bookmarkStart w:id="49" w:name="_Toc1075148766_WPSOffice_Level3"/>
      <w:bookmarkStart w:id="50" w:name="_Toc1394357842_WPSOffice_Level3"/>
      <w:r>
        <w:rPr>
          <w:rFonts w:hint="eastAsia" w:ascii="仿宋" w:hAnsi="仿宋" w:eastAsia="仿宋" w:cs="仿宋"/>
          <w:color w:val="auto"/>
          <w:sz w:val="28"/>
          <w:szCs w:val="28"/>
          <w:lang w:val="en-US" w:eastAsia="zh-CN"/>
        </w:rPr>
        <w:t>8.是否允许采购进口产品：否</w:t>
      </w:r>
      <w:bookmarkEnd w:id="48"/>
      <w:bookmarkEnd w:id="49"/>
      <w:bookmarkEnd w:id="50"/>
    </w:p>
    <w:p w14:paraId="57E7831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是否专门面向中小企业：否</w:t>
      </w:r>
    </w:p>
    <w:p w14:paraId="1427091C">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51" w:name="_Toc1298400066_WPSOffice_Level2"/>
      <w:bookmarkStart w:id="52" w:name="_Toc2026118901_WPSOffice_Level2"/>
      <w:bookmarkStart w:id="53" w:name="_Toc584363550_WPSOffice_Level2"/>
      <w:bookmarkStart w:id="54" w:name="_Toc407944620_WPSOffice_Level2"/>
      <w:bookmarkStart w:id="55" w:name="_Toc1990946225_WPSOffice_Level2"/>
      <w:r>
        <w:rPr>
          <w:rFonts w:hint="eastAsia" w:ascii="仿宋" w:hAnsi="仿宋" w:eastAsia="仿宋" w:cs="仿宋"/>
          <w:b/>
          <w:bCs/>
          <w:color w:val="auto"/>
          <w:sz w:val="28"/>
          <w:szCs w:val="28"/>
          <w:lang w:val="en-US" w:eastAsia="zh-CN"/>
        </w:rPr>
        <w:t>二、申请人资格要求</w:t>
      </w:r>
      <w:bookmarkEnd w:id="51"/>
      <w:bookmarkEnd w:id="52"/>
      <w:bookmarkEnd w:id="53"/>
      <w:bookmarkEnd w:id="54"/>
      <w:r>
        <w:rPr>
          <w:rFonts w:hint="eastAsia" w:ascii="仿宋" w:hAnsi="仿宋" w:eastAsia="仿宋" w:cs="仿宋"/>
          <w:b/>
          <w:bCs/>
          <w:color w:val="auto"/>
          <w:sz w:val="28"/>
          <w:szCs w:val="28"/>
          <w:lang w:val="en-US" w:eastAsia="zh-CN"/>
        </w:rPr>
        <w:t>：</w:t>
      </w:r>
      <w:bookmarkEnd w:id="55"/>
    </w:p>
    <w:p w14:paraId="23D2EB88">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56" w:name="_Toc795001869_WPSOffice_Level3"/>
      <w:bookmarkStart w:id="57" w:name="_Toc288167634_WPSOffice_Level3"/>
      <w:bookmarkStart w:id="58" w:name="_Toc786047326_WPSOffice_Level3"/>
      <w:r>
        <w:rPr>
          <w:rFonts w:hint="eastAsia" w:ascii="仿宋" w:hAnsi="仿宋" w:eastAsia="仿宋" w:cs="仿宋"/>
          <w:color w:val="auto"/>
          <w:sz w:val="28"/>
          <w:szCs w:val="28"/>
          <w:lang w:val="en-US" w:eastAsia="zh-CN"/>
        </w:rPr>
        <w:t>1.满足《中华人民共和国政府采购法》第二十二条规定；</w:t>
      </w:r>
      <w:bookmarkEnd w:id="56"/>
      <w:bookmarkEnd w:id="57"/>
      <w:bookmarkEnd w:id="58"/>
    </w:p>
    <w:p w14:paraId="4A6D7CAD">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59" w:name="_Toc1004075335_WPSOffice_Level3"/>
      <w:bookmarkStart w:id="60" w:name="_Toc1059537205_WPSOffice_Level3"/>
      <w:bookmarkStart w:id="61" w:name="_Toc282163985_WPSOffice_Level3"/>
      <w:r>
        <w:rPr>
          <w:rFonts w:hint="eastAsia" w:ascii="仿宋" w:hAnsi="仿宋" w:eastAsia="仿宋" w:cs="仿宋"/>
          <w:color w:val="auto"/>
          <w:sz w:val="28"/>
          <w:szCs w:val="28"/>
          <w:lang w:val="en-US" w:eastAsia="zh-CN"/>
        </w:rPr>
        <w:t>2.</w:t>
      </w:r>
      <w:bookmarkEnd w:id="59"/>
      <w:r>
        <w:rPr>
          <w:rFonts w:hint="eastAsia" w:ascii="仿宋" w:hAnsi="仿宋" w:eastAsia="仿宋" w:cs="仿宋"/>
          <w:color w:val="auto"/>
          <w:sz w:val="28"/>
          <w:szCs w:val="28"/>
          <w:lang w:val="en-US" w:eastAsia="zh-CN"/>
        </w:rPr>
        <w:t>落实政府采购政策满足的资格要求：</w:t>
      </w:r>
      <w:bookmarkEnd w:id="60"/>
      <w:bookmarkEnd w:id="61"/>
      <w:bookmarkStart w:id="62" w:name="_Toc879078693_WPSOffice_Level3"/>
      <w:r>
        <w:rPr>
          <w:rFonts w:hint="eastAsia" w:ascii="仿宋" w:hAnsi="仿宋" w:eastAsia="仿宋" w:cs="仿宋"/>
          <w:color w:val="auto"/>
          <w:sz w:val="28"/>
          <w:szCs w:val="28"/>
          <w:lang w:val="en-US" w:eastAsia="zh-CN"/>
        </w:rPr>
        <w:t>无</w:t>
      </w:r>
    </w:p>
    <w:p w14:paraId="6DC047D1">
      <w:pPr>
        <w:pageBreakBefore w:val="0"/>
        <w:wordWrap/>
        <w:topLinePunct w:val="0"/>
        <w:bidi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3.本项目的特定资格要求：</w:t>
      </w:r>
      <w:bookmarkEnd w:id="62"/>
      <w:r>
        <w:rPr>
          <w:rFonts w:hint="eastAsia" w:ascii="仿宋" w:hAnsi="仿宋" w:eastAsia="仿宋" w:cs="仿宋"/>
          <w:color w:val="auto"/>
          <w:sz w:val="28"/>
          <w:szCs w:val="28"/>
          <w:lang w:val="en-US" w:eastAsia="zh-CN"/>
        </w:rPr>
        <w:t>无</w:t>
      </w:r>
    </w:p>
    <w:p w14:paraId="39B36364">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63" w:name="_Toc2045253496_WPSOffice_Level2"/>
      <w:bookmarkStart w:id="64" w:name="_Toc1144697108_WPSOffice_Level2"/>
      <w:bookmarkStart w:id="65" w:name="_Toc1677814303_WPSOffice_Level2"/>
      <w:bookmarkStart w:id="66" w:name="_Toc872248170_WPSOffice_Level2"/>
      <w:bookmarkStart w:id="67" w:name="_Toc295468326_WPSOffice_Level2"/>
      <w:r>
        <w:rPr>
          <w:rFonts w:hint="eastAsia" w:ascii="仿宋" w:hAnsi="仿宋" w:eastAsia="仿宋" w:cs="仿宋"/>
          <w:b/>
          <w:bCs/>
          <w:color w:val="auto"/>
          <w:sz w:val="28"/>
          <w:szCs w:val="28"/>
          <w:lang w:val="en-US" w:eastAsia="zh-CN"/>
        </w:rPr>
        <w:t>三、获取招标文件</w:t>
      </w:r>
      <w:bookmarkEnd w:id="63"/>
      <w:bookmarkEnd w:id="64"/>
      <w:bookmarkEnd w:id="65"/>
      <w:bookmarkEnd w:id="66"/>
      <w:bookmarkEnd w:id="67"/>
    </w:p>
    <w:p w14:paraId="44DB34BE">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21日至</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28日，每天上午00:00至12:00，下午12:00至23:59（北京时间，法定节假日除外。）</w:t>
      </w:r>
    </w:p>
    <w:p w14:paraId="41EF3A6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2.地点：河南省公共资源交易中心（hnsggzyjy.henan.gov.cn）</w:t>
      </w:r>
    </w:p>
    <w:p w14:paraId="10EC2A6C">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rPr>
        <w:t>3.方式：投标人</w:t>
      </w:r>
      <w:r>
        <w:rPr>
          <w:rFonts w:hint="eastAsia" w:ascii="仿宋" w:hAnsi="仿宋" w:eastAsia="仿宋" w:cs="仿宋"/>
          <w:sz w:val="28"/>
          <w:szCs w:val="28"/>
        </w:rPr>
        <w:t>使用</w:t>
      </w:r>
      <w:r>
        <w:rPr>
          <w:rFonts w:hint="eastAsia" w:ascii="仿宋" w:hAnsi="仿宋" w:eastAsia="仿宋" w:cs="仿宋"/>
          <w:sz w:val="28"/>
          <w:szCs w:val="28"/>
          <w:lang w:val="en-US"/>
        </w:rPr>
        <w:t>CA</w:t>
      </w:r>
      <w:r>
        <w:rPr>
          <w:rFonts w:hint="eastAsia" w:ascii="仿宋" w:hAnsi="仿宋" w:eastAsia="仿宋" w:cs="仿宋"/>
          <w:sz w:val="28"/>
          <w:szCs w:val="28"/>
        </w:rPr>
        <w:t>数字证书登录</w:t>
      </w:r>
      <w:r>
        <w:rPr>
          <w:rFonts w:hint="eastAsia" w:ascii="仿宋" w:hAnsi="仿宋" w:eastAsia="仿宋" w:cs="仿宋"/>
          <w:sz w:val="28"/>
          <w:szCs w:val="28"/>
          <w:lang w:val="en-US"/>
        </w:rPr>
        <w:t>“</w:t>
      </w:r>
      <w:r>
        <w:rPr>
          <w:rFonts w:hint="eastAsia" w:ascii="仿宋" w:hAnsi="仿宋" w:eastAsia="仿宋" w:cs="仿宋"/>
          <w:sz w:val="28"/>
          <w:szCs w:val="28"/>
        </w:rPr>
        <w:t>河南省公共资源交易中心</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hint="eastAsia" w:ascii="仿宋" w:hAnsi="仿宋" w:eastAsia="仿宋" w:cs="仿宋"/>
          <w:sz w:val="28"/>
          <w:szCs w:val="28"/>
          <w:lang w:val="en-US"/>
        </w:rPr>
        <w:t>）”，</w:t>
      </w:r>
      <w:r>
        <w:rPr>
          <w:rFonts w:hint="eastAsia" w:ascii="仿宋" w:hAnsi="仿宋" w:eastAsia="仿宋" w:cs="仿宋"/>
          <w:sz w:val="28"/>
          <w:szCs w:val="28"/>
        </w:rPr>
        <w:t>并按网上提示下载投标项目所含格式</w:t>
      </w:r>
      <w:r>
        <w:rPr>
          <w:rFonts w:hint="eastAsia" w:ascii="仿宋" w:hAnsi="仿宋" w:eastAsia="仿宋" w:cs="仿宋"/>
          <w:sz w:val="28"/>
          <w:szCs w:val="28"/>
          <w:lang w:val="en-US"/>
        </w:rPr>
        <w:t>(.hnzf)</w:t>
      </w:r>
      <w:r>
        <w:rPr>
          <w:rFonts w:hint="eastAsia" w:ascii="仿宋" w:hAnsi="仿宋" w:eastAsia="仿宋" w:cs="仿宋"/>
          <w:sz w:val="28"/>
          <w:szCs w:val="28"/>
        </w:rPr>
        <w:t>的招标文件及资料。</w:t>
      </w:r>
      <w:r>
        <w:rPr>
          <w:rFonts w:hint="eastAsia" w:ascii="仿宋" w:hAnsi="仿宋" w:eastAsia="仿宋" w:cs="仿宋"/>
          <w:sz w:val="28"/>
          <w:szCs w:val="28"/>
          <w:lang w:eastAsia="zh-CN"/>
        </w:rPr>
        <w:t>注册、登录、下载等</w:t>
      </w:r>
      <w:r>
        <w:rPr>
          <w:rFonts w:hint="eastAsia" w:ascii="仿宋" w:hAnsi="仿宋" w:eastAsia="仿宋" w:cs="仿宋"/>
          <w:sz w:val="28"/>
          <w:szCs w:val="28"/>
          <w:lang w:val="en-US" w:eastAsia="zh-CN"/>
        </w:rPr>
        <w:t>具体事宜请查阅河南省公共资源交易中心网站“公共服务”→“办事指南”。</w:t>
      </w:r>
    </w:p>
    <w:p w14:paraId="4C583853">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4.售价：0元</w:t>
      </w:r>
    </w:p>
    <w:p w14:paraId="560F901D">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68" w:name="_Toc2091398558_WPSOffice_Level2"/>
      <w:bookmarkStart w:id="69" w:name="_Toc994305580_WPSOffice_Level2"/>
      <w:bookmarkStart w:id="70" w:name="_Toc1361166934_WPSOffice_Level2"/>
      <w:bookmarkStart w:id="71" w:name="_Toc1740030706_WPSOffice_Level2"/>
      <w:bookmarkStart w:id="72" w:name="_Toc1432496505_WPSOffice_Level2"/>
      <w:r>
        <w:rPr>
          <w:rFonts w:hint="eastAsia" w:ascii="仿宋" w:hAnsi="仿宋" w:eastAsia="仿宋" w:cs="仿宋"/>
          <w:b/>
          <w:bCs/>
          <w:color w:val="auto"/>
          <w:sz w:val="28"/>
          <w:szCs w:val="28"/>
          <w:lang w:val="en-US" w:eastAsia="zh-CN"/>
        </w:rPr>
        <w:t>四、投标截止时间及地点</w:t>
      </w:r>
      <w:bookmarkEnd w:id="68"/>
      <w:bookmarkEnd w:id="69"/>
      <w:bookmarkEnd w:id="70"/>
      <w:bookmarkEnd w:id="71"/>
      <w:bookmarkEnd w:id="72"/>
    </w:p>
    <w:p w14:paraId="57F3707C">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11日09时00分（北京时间）</w:t>
      </w:r>
    </w:p>
    <w:p w14:paraId="6B3FFAEF">
      <w:pPr>
        <w:pageBreakBefore w:val="0"/>
        <w:wordWrap/>
        <w:topLinePunct w:val="0"/>
        <w:bidi w:val="0"/>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2.地点：</w:t>
      </w:r>
      <w:r>
        <w:rPr>
          <w:rFonts w:hint="eastAsia" w:ascii="仿宋" w:hAnsi="仿宋" w:eastAsia="仿宋" w:cs="仿宋"/>
          <w:sz w:val="28"/>
          <w:szCs w:val="28"/>
        </w:rPr>
        <w:t>河南省公共资源交易中心</w:t>
      </w:r>
      <w:r>
        <w:rPr>
          <w:rFonts w:hint="eastAsia" w:ascii="仿宋" w:hAnsi="仿宋" w:eastAsia="仿宋" w:cs="仿宋"/>
          <w:sz w:val="28"/>
          <w:szCs w:val="28"/>
          <w:lang w:eastAsia="zh-CN"/>
        </w:rPr>
        <w:t>网</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hint="eastAsia" w:ascii="仿宋" w:hAnsi="仿宋" w:eastAsia="仿宋" w:cs="仿宋"/>
          <w:sz w:val="28"/>
          <w:szCs w:val="28"/>
          <w:lang w:val="en-US"/>
        </w:rPr>
        <w:t>）</w:t>
      </w:r>
    </w:p>
    <w:p w14:paraId="2E6ABB79">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73" w:name="_Toc1340501896_WPSOffice_Level2"/>
      <w:bookmarkStart w:id="74" w:name="_Toc843072336_WPSOffice_Level2"/>
      <w:bookmarkStart w:id="75" w:name="_Toc2015382973_WPSOffice_Level2"/>
      <w:bookmarkStart w:id="76" w:name="_Toc1501260250_WPSOffice_Level2"/>
      <w:bookmarkStart w:id="77" w:name="_Toc29068487_WPSOffice_Level2"/>
      <w:r>
        <w:rPr>
          <w:rFonts w:hint="eastAsia" w:ascii="仿宋" w:hAnsi="仿宋" w:eastAsia="仿宋" w:cs="仿宋"/>
          <w:b/>
          <w:bCs/>
          <w:color w:val="auto"/>
          <w:sz w:val="28"/>
          <w:szCs w:val="28"/>
          <w:lang w:val="en-US" w:eastAsia="zh-CN"/>
        </w:rPr>
        <w:t>五、开标时间及地点</w:t>
      </w:r>
      <w:bookmarkEnd w:id="73"/>
      <w:bookmarkEnd w:id="74"/>
      <w:bookmarkEnd w:id="75"/>
      <w:bookmarkEnd w:id="76"/>
      <w:bookmarkEnd w:id="77"/>
    </w:p>
    <w:p w14:paraId="53E91906">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11日09时00分（北京时间）</w:t>
      </w:r>
    </w:p>
    <w:p w14:paraId="02A43CED">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rPr>
        <w:t>2.地点：</w:t>
      </w:r>
      <w:bookmarkStart w:id="78" w:name="_Toc1101443234_WPSOffice_Level2"/>
      <w:bookmarkStart w:id="79" w:name="_Toc847108981_WPSOffice_Level2"/>
      <w:bookmarkStart w:id="80" w:name="_Toc74330375_WPSOffice_Level2"/>
      <w:r>
        <w:rPr>
          <w:rFonts w:hint="eastAsia" w:ascii="仿宋" w:hAnsi="仿宋" w:eastAsia="仿宋" w:cs="仿宋"/>
          <w:color w:val="auto"/>
          <w:sz w:val="28"/>
          <w:szCs w:val="28"/>
          <w:lang w:val="en-US" w:eastAsia="zh-CN"/>
        </w:rPr>
        <w:t>河南省公共资源交易中心远程开标室；“河南省公共资源交易中心”（hnsggzyjy.henan.gov.cn）——不见面开标大厅。</w:t>
      </w:r>
    </w:p>
    <w:p w14:paraId="624EBBAA">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81" w:name="_Toc1299643612_WPSOffice_Level2"/>
      <w:bookmarkStart w:id="82" w:name="_Toc2023413763_WPSOffice_Level2"/>
      <w:r>
        <w:rPr>
          <w:rFonts w:hint="eastAsia" w:ascii="仿宋" w:hAnsi="仿宋" w:eastAsia="仿宋" w:cs="仿宋"/>
          <w:b/>
          <w:bCs/>
          <w:color w:val="auto"/>
          <w:sz w:val="28"/>
          <w:szCs w:val="28"/>
          <w:lang w:val="en-US" w:eastAsia="zh-CN"/>
        </w:rPr>
        <w:t>六、发布公告的媒介及招标公告期限</w:t>
      </w:r>
      <w:bookmarkEnd w:id="78"/>
      <w:bookmarkEnd w:id="79"/>
      <w:bookmarkEnd w:id="80"/>
      <w:bookmarkEnd w:id="81"/>
      <w:bookmarkEnd w:id="82"/>
    </w:p>
    <w:p w14:paraId="70A443A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本次招标公告在《河南省政府采购网》《河南省公共资源交易中心网》上发布，招标公告期限为五个工作日。</w:t>
      </w:r>
    </w:p>
    <w:p w14:paraId="05883639">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bookmarkStart w:id="83" w:name="_Toc271688487_WPSOffice_Level2"/>
      <w:bookmarkStart w:id="84" w:name="_Toc811435245_WPSOffice_Level2"/>
      <w:bookmarkStart w:id="85" w:name="_Toc1765891161_WPSOffice_Level2"/>
      <w:bookmarkStart w:id="86" w:name="_Toc934758795_WPSOffice_Level2"/>
      <w:bookmarkStart w:id="87" w:name="_Toc1849985481_WPSOffice_Level2"/>
      <w:r>
        <w:rPr>
          <w:rFonts w:hint="eastAsia" w:ascii="仿宋" w:hAnsi="仿宋" w:eastAsia="仿宋" w:cs="仿宋"/>
          <w:b/>
          <w:bCs/>
          <w:color w:val="auto"/>
          <w:sz w:val="28"/>
          <w:szCs w:val="28"/>
          <w:lang w:val="en-US" w:eastAsia="zh-CN"/>
        </w:rPr>
        <w:t>七、其他补充事宜</w:t>
      </w:r>
      <w:bookmarkEnd w:id="83"/>
      <w:bookmarkEnd w:id="84"/>
      <w:bookmarkEnd w:id="85"/>
      <w:bookmarkEnd w:id="86"/>
      <w:bookmarkEnd w:id="87"/>
    </w:p>
    <w:p w14:paraId="17341F45">
      <w:pPr>
        <w:pageBreakBefore w:val="0"/>
        <w:wordWrap/>
        <w:topLinePunct w:val="0"/>
        <w:bidi w:val="0"/>
        <w:spacing w:line="360" w:lineRule="auto"/>
        <w:jc w:val="left"/>
        <w:rPr>
          <w:rFonts w:hint="eastAsia" w:ascii="仿宋" w:hAnsi="仿宋" w:eastAsia="仿宋" w:cs="仿宋"/>
          <w:color w:val="auto"/>
          <w:sz w:val="28"/>
          <w:szCs w:val="28"/>
          <w:lang w:val="en-US" w:eastAsia="zh-CN"/>
        </w:rPr>
      </w:pPr>
      <w:bookmarkStart w:id="88" w:name="_Toc1643921422_WPSOffice_Level2"/>
      <w:bookmarkStart w:id="89" w:name="_Toc1528591159_WPSOffice_Level2"/>
      <w:bookmarkStart w:id="90" w:name="_Toc1844119755_WPSOffice_Level2"/>
      <w:bookmarkStart w:id="91" w:name="_Toc104417590_WPSOffice_Level2"/>
      <w:bookmarkStart w:id="92" w:name="_Toc163594944_WPSOffice_Level2"/>
      <w:r>
        <w:rPr>
          <w:rFonts w:hint="eastAsia" w:ascii="仿宋" w:hAnsi="仿宋" w:eastAsia="仿宋" w:cs="仿宋"/>
          <w:color w:val="auto"/>
          <w:sz w:val="28"/>
          <w:szCs w:val="28"/>
          <w:lang w:val="en-US" w:eastAsia="zh-CN"/>
        </w:rPr>
        <w:t>本项目落实中小企业扶持、促进残疾人就业等相关政府采购政策。</w:t>
      </w:r>
    </w:p>
    <w:p w14:paraId="09A86159">
      <w:pPr>
        <w:pageBreakBefore w:val="0"/>
        <w:wordWrap/>
        <w:topLinePunct w:val="0"/>
        <w:bidi w:val="0"/>
        <w:spacing w:line="360" w:lineRule="auto"/>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八、凡对本次招标提出询问，请按照以下方式联系</w:t>
      </w:r>
      <w:bookmarkEnd w:id="88"/>
      <w:bookmarkEnd w:id="89"/>
      <w:bookmarkEnd w:id="90"/>
      <w:bookmarkEnd w:id="91"/>
      <w:bookmarkEnd w:id="92"/>
    </w:p>
    <w:p w14:paraId="04A5A341">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1.采购人信息</w:t>
      </w:r>
    </w:p>
    <w:p w14:paraId="1EBA2C7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名称：河南财经政法大学</w:t>
      </w:r>
    </w:p>
    <w:p w14:paraId="0A7052DB">
      <w:pPr>
        <w:pageBreakBefore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地址：郑州市金水东路180号</w:t>
      </w:r>
    </w:p>
    <w:p w14:paraId="08429765">
      <w:pPr>
        <w:pageBreakBefore w:val="0"/>
        <w:wordWrap/>
        <w:topLinePunct w:val="0"/>
        <w:bidi w:val="0"/>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联系人：宋老师</w:t>
      </w:r>
    </w:p>
    <w:p w14:paraId="0868460F">
      <w:pPr>
        <w:pageBreakBefore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联系方式：0371-86157236</w:t>
      </w:r>
    </w:p>
    <w:p w14:paraId="53660AB2">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2.采购代理机构信息（如有）</w:t>
      </w:r>
    </w:p>
    <w:p w14:paraId="54F327AF">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名称：河南省公共资源交易中心</w:t>
      </w:r>
    </w:p>
    <w:p w14:paraId="3A8983B4">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地址：郑州市经二路12号</w:t>
      </w:r>
    </w:p>
    <w:p w14:paraId="63E0A17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联系人：郭老师 余老师</w:t>
      </w:r>
    </w:p>
    <w:p w14:paraId="29A4EBC0">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联系方式：0371-65915560</w:t>
      </w:r>
    </w:p>
    <w:p w14:paraId="4BAE87FD">
      <w:pPr>
        <w:pageBreakBefore w:val="0"/>
        <w:wordWrap/>
        <w:topLinePunct w:val="0"/>
        <w:bidi w:val="0"/>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3.项目联系方式</w:t>
      </w:r>
    </w:p>
    <w:p w14:paraId="467CD963">
      <w:pPr>
        <w:pageBreakBefore w:val="0"/>
        <w:wordWrap/>
        <w:topLinePunct w:val="0"/>
        <w:bidi w:val="0"/>
        <w:spacing w:line="360" w:lineRule="auto"/>
        <w:rPr>
          <w:rFonts w:hint="default" w:ascii="仿宋" w:hAnsi="仿宋" w:eastAsia="仿宋" w:cs="仿宋"/>
          <w:color w:val="auto"/>
          <w:sz w:val="28"/>
          <w:szCs w:val="28"/>
          <w:lang w:val="en-US" w:eastAsia="zh-CN"/>
        </w:rPr>
      </w:pPr>
      <w:bookmarkStart w:id="93" w:name="_Toc1932859446_WPSOffice_Level1"/>
      <w:bookmarkStart w:id="94" w:name="_Toc543843355"/>
      <w:bookmarkStart w:id="95" w:name="_Toc719882491_WPSOffice_Level1"/>
      <w:bookmarkStart w:id="96" w:name="_Toc894622228"/>
      <w:bookmarkStart w:id="97" w:name="_Toc1043881812"/>
      <w:bookmarkStart w:id="98" w:name="_Toc1016738770_WPSOffice_Level1"/>
      <w:bookmarkStart w:id="99" w:name="_Toc2032132179"/>
      <w:bookmarkStart w:id="100" w:name="_Toc401873220"/>
      <w:bookmarkStart w:id="101" w:name="_Toc403451568"/>
      <w:bookmarkStart w:id="102" w:name="_Toc337485847"/>
      <w:bookmarkStart w:id="103" w:name="_Toc1378990171"/>
      <w:bookmarkStart w:id="104" w:name="_Toc27631594"/>
      <w:bookmarkStart w:id="105" w:name="_Toc1520451966"/>
      <w:bookmarkStart w:id="106" w:name="_Toc2106074957"/>
      <w:bookmarkStart w:id="107" w:name="_Toc339222953_WPSOffice_Level1"/>
      <w:bookmarkStart w:id="108" w:name="_Toc1158409811_WPSOffice_Level1"/>
      <w:bookmarkStart w:id="109" w:name="_Toc1562014060"/>
      <w:bookmarkStart w:id="110" w:name="_Toc969346985"/>
      <w:r>
        <w:rPr>
          <w:rFonts w:hint="eastAsia" w:ascii="仿宋" w:hAnsi="仿宋" w:eastAsia="仿宋" w:cs="仿宋"/>
          <w:color w:val="auto"/>
          <w:sz w:val="28"/>
          <w:szCs w:val="28"/>
          <w:lang w:val="en-US" w:eastAsia="zh-CN"/>
        </w:rPr>
        <w:t>联系人：宋李江</w:t>
      </w:r>
    </w:p>
    <w:p w14:paraId="45A2235D">
      <w:pPr>
        <w:pageBreakBefore w:val="0"/>
        <w:wordWrap/>
        <w:topLinePunct w:val="0"/>
        <w:bidi w:val="0"/>
        <w:spacing w:line="360" w:lineRule="auto"/>
        <w:rPr>
          <w:rFonts w:hint="eastAsia" w:ascii="仿宋" w:hAnsi="仿宋" w:eastAsia="仿宋" w:cs="仿宋"/>
          <w:color w:val="FF0000"/>
          <w:sz w:val="28"/>
          <w:szCs w:val="28"/>
          <w:lang w:val="en-US" w:eastAsia="zh-CN"/>
        </w:rPr>
        <w:sectPr>
          <w:footerReference r:id="rId4" w:type="default"/>
          <w:pgSz w:w="11900" w:h="16840"/>
          <w:pgMar w:top="1440" w:right="1797" w:bottom="1440" w:left="1797" w:header="851" w:footer="992"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color w:val="auto"/>
          <w:sz w:val="28"/>
          <w:szCs w:val="28"/>
          <w:lang w:val="en-US" w:eastAsia="zh-CN"/>
        </w:rPr>
        <w:t>联系方式：0371-86157236</w:t>
      </w:r>
    </w:p>
    <w:p w14:paraId="45AF74B6">
      <w:pPr>
        <w:pStyle w:val="6"/>
        <w:pageBreakBefore w:val="0"/>
        <w:wordWrap/>
        <w:topLinePunct w:val="0"/>
        <w:bidi w:val="0"/>
        <w:spacing w:before="0" w:after="0" w:line="360" w:lineRule="auto"/>
        <w:jc w:val="center"/>
        <w:rPr>
          <w:rFonts w:hint="eastAsia" w:ascii="仿宋" w:hAnsi="仿宋" w:eastAsia="仿宋" w:cs="仿宋"/>
          <w:color w:val="auto"/>
          <w:sz w:val="36"/>
          <w:szCs w:val="36"/>
          <w:lang w:eastAsia="zh-CN"/>
        </w:rPr>
      </w:pPr>
      <w:bookmarkStart w:id="111" w:name="_Toc9494"/>
      <w:r>
        <w:rPr>
          <w:rFonts w:hint="eastAsia" w:ascii="仿宋" w:hAnsi="仿宋" w:eastAsia="仿宋" w:cs="仿宋"/>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12A6895">
      <w:p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本表是对投标人须知的具体补充和修改，如有矛盾，应以本表为准。</w:t>
      </w:r>
    </w:p>
    <w:tbl>
      <w:tblPr>
        <w:tblStyle w:val="53"/>
        <w:tblW w:w="8786" w:type="dxa"/>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7826"/>
      </w:tblGrid>
      <w:tr w14:paraId="39C9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0" w:hRule="atLeast"/>
          <w:tblHeader/>
        </w:trPr>
        <w:tc>
          <w:tcPr>
            <w:tcW w:w="960" w:type="dxa"/>
            <w:noWrap/>
            <w:vAlign w:val="center"/>
          </w:tcPr>
          <w:p w14:paraId="12A023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条款号</w:t>
            </w:r>
          </w:p>
        </w:tc>
        <w:tc>
          <w:tcPr>
            <w:tcW w:w="7826" w:type="dxa"/>
            <w:noWrap/>
            <w:vAlign w:val="center"/>
          </w:tcPr>
          <w:p w14:paraId="20170C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内      容</w:t>
            </w:r>
          </w:p>
        </w:tc>
      </w:tr>
      <w:tr w14:paraId="18DB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60" w:type="dxa"/>
            <w:noWrap/>
            <w:vAlign w:val="center"/>
          </w:tcPr>
          <w:p w14:paraId="1C4895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7826" w:type="dxa"/>
            <w:noWrap/>
            <w:vAlign w:val="center"/>
          </w:tcPr>
          <w:p w14:paraId="667EF04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采购项目：</w:t>
            </w:r>
            <w:r>
              <w:rPr>
                <w:rFonts w:hint="eastAsia" w:ascii="仿宋" w:hAnsi="仿宋" w:eastAsia="仿宋" w:cs="仿宋"/>
                <w:sz w:val="28"/>
                <w:szCs w:val="28"/>
                <w:lang w:val="en" w:eastAsia="zh-CN"/>
              </w:rPr>
              <w:t>河南财经政法大学郑东校区物业服务项目</w:t>
            </w:r>
          </w:p>
        </w:tc>
      </w:tr>
      <w:tr w14:paraId="5EE5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60" w:type="dxa"/>
            <w:noWrap/>
            <w:vAlign w:val="center"/>
          </w:tcPr>
          <w:p w14:paraId="1D25F2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7826" w:type="dxa"/>
            <w:noWrap/>
            <w:vAlign w:val="center"/>
          </w:tcPr>
          <w:p w14:paraId="0A5CEB2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 w:eastAsia="zh-CN"/>
              </w:rPr>
            </w:pPr>
            <w:r>
              <w:rPr>
                <w:rFonts w:hint="eastAsia" w:ascii="仿宋" w:hAnsi="仿宋" w:eastAsia="仿宋" w:cs="仿宋"/>
                <w:sz w:val="28"/>
                <w:szCs w:val="28"/>
                <w:lang w:eastAsia="zh-CN"/>
              </w:rPr>
              <w:t>采购编号：豫财招标采购-2025-1739</w:t>
            </w:r>
          </w:p>
        </w:tc>
      </w:tr>
      <w:tr w14:paraId="2994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5A7F3E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7826" w:type="dxa"/>
            <w:noWrap/>
            <w:vAlign w:val="center"/>
          </w:tcPr>
          <w:p w14:paraId="7B05566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采购项目简要说明：</w:t>
            </w:r>
          </w:p>
          <w:p w14:paraId="52503E7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预算金额和最高限价：详见“第一章 投标邀请”</w:t>
            </w:r>
          </w:p>
          <w:p w14:paraId="3C4C880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2.招标内容：</w:t>
            </w:r>
            <w:r>
              <w:rPr>
                <w:rFonts w:hint="eastAsia" w:ascii="仿宋" w:hAnsi="仿宋" w:eastAsia="仿宋" w:cs="仿宋"/>
                <w:sz w:val="28"/>
                <w:szCs w:val="28"/>
                <w:lang w:eastAsia="zh-CN"/>
              </w:rPr>
              <w:t>详见“第一章 投标邀请”</w:t>
            </w:r>
          </w:p>
        </w:tc>
      </w:tr>
      <w:tr w14:paraId="4864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5D6177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2.2</w:t>
            </w:r>
          </w:p>
        </w:tc>
        <w:tc>
          <w:tcPr>
            <w:tcW w:w="7826" w:type="dxa"/>
            <w:noWrap/>
            <w:vAlign w:val="center"/>
          </w:tcPr>
          <w:p w14:paraId="670D477E">
            <w:pPr>
              <w:pStyle w:val="4"/>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w:t>
            </w:r>
            <w:r>
              <w:rPr>
                <w:rFonts w:hint="eastAsia" w:ascii="仿宋" w:hAnsi="仿宋" w:eastAsia="仿宋" w:cs="仿宋"/>
                <w:sz w:val="28"/>
                <w:szCs w:val="28"/>
                <w:lang w:val="en" w:eastAsia="zh-CN"/>
              </w:rPr>
              <w:t>河南财经政法大学</w:t>
            </w:r>
          </w:p>
          <w:p w14:paraId="76E4E826">
            <w:pPr>
              <w:pStyle w:val="4"/>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r>
              <w:rPr>
                <w:rFonts w:hint="eastAsia" w:ascii="仿宋" w:hAnsi="仿宋" w:eastAsia="仿宋" w:cs="仿宋"/>
                <w:color w:val="auto"/>
                <w:sz w:val="28"/>
                <w:szCs w:val="28"/>
                <w:lang w:val="en-US" w:eastAsia="zh-CN"/>
              </w:rPr>
              <w:t>郑州市金水东路180号</w:t>
            </w:r>
          </w:p>
          <w:p w14:paraId="09E5919D">
            <w:pPr>
              <w:pStyle w:val="4"/>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r>
              <w:rPr>
                <w:rFonts w:hint="eastAsia" w:ascii="仿宋" w:hAnsi="仿宋" w:eastAsia="仿宋" w:cs="仿宋"/>
                <w:color w:val="auto"/>
                <w:sz w:val="28"/>
                <w:szCs w:val="28"/>
                <w:lang w:val="en-US" w:eastAsia="zh-CN"/>
              </w:rPr>
              <w:t>宋老师</w:t>
            </w:r>
          </w:p>
          <w:p w14:paraId="391E40EF">
            <w:pPr>
              <w:pStyle w:val="4"/>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r>
              <w:rPr>
                <w:rFonts w:hint="eastAsia" w:ascii="仿宋" w:hAnsi="仿宋" w:eastAsia="仿宋" w:cs="仿宋"/>
                <w:color w:val="auto"/>
                <w:sz w:val="28"/>
                <w:szCs w:val="28"/>
                <w:lang w:val="en-US" w:eastAsia="zh-CN"/>
              </w:rPr>
              <w:t>0371-86157236</w:t>
            </w:r>
          </w:p>
          <w:p w14:paraId="157BDA6E">
            <w:pPr>
              <w:pStyle w:val="4"/>
              <w:keepNext w:val="0"/>
              <w:keepLines w:val="0"/>
              <w:pageBreakBefore w:val="0"/>
              <w:kinsoku/>
              <w:wordWrap/>
              <w:overflowPunct/>
              <w:topLinePunct w:val="0"/>
              <w:autoSpaceDE/>
              <w:autoSpaceDN/>
              <w:bidi w:val="0"/>
              <w:adjustRightInd/>
              <w:snapToGrid/>
              <w:spacing w:before="0"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rPr>
              <w:t>邮箱：</w:t>
            </w:r>
            <w:r>
              <w:rPr>
                <w:rFonts w:hint="eastAsia" w:ascii="仿宋" w:hAnsi="仿宋" w:eastAsia="仿宋" w:cs="仿宋"/>
                <w:sz w:val="28"/>
                <w:szCs w:val="28"/>
                <w:highlight w:val="none"/>
                <w:lang w:val="en-US" w:eastAsia="zh-CN"/>
              </w:rPr>
              <w:t>gyzcglc@huel.edu.cn</w:t>
            </w:r>
          </w:p>
        </w:tc>
      </w:tr>
      <w:tr w14:paraId="212EF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60" w:type="dxa"/>
            <w:noWrap/>
            <w:vAlign w:val="center"/>
          </w:tcPr>
          <w:p w14:paraId="1B4272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2.3</w:t>
            </w:r>
          </w:p>
        </w:tc>
        <w:tc>
          <w:tcPr>
            <w:tcW w:w="7826" w:type="dxa"/>
            <w:noWrap/>
            <w:vAlign w:val="center"/>
          </w:tcPr>
          <w:p w14:paraId="3307BF2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集中采购机构：河南省公共资源交易中心</w:t>
            </w:r>
          </w:p>
          <w:p w14:paraId="7DD3550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地址：郑州市经二路12号</w:t>
            </w:r>
          </w:p>
          <w:p w14:paraId="22F9C9C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联系人：</w:t>
            </w:r>
            <w:r>
              <w:rPr>
                <w:rFonts w:hint="eastAsia" w:ascii="仿宋" w:hAnsi="仿宋" w:eastAsia="仿宋" w:cs="仿宋"/>
                <w:color w:val="auto"/>
                <w:sz w:val="28"/>
                <w:szCs w:val="28"/>
                <w:lang w:val="en-US" w:eastAsia="zh-CN"/>
              </w:rPr>
              <w:t>郭老师 余老师</w:t>
            </w:r>
          </w:p>
          <w:p w14:paraId="2263941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联系方式：0371-65915560</w:t>
            </w:r>
          </w:p>
          <w:p w14:paraId="65D852C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邮箱：hnggzyzfcg@163.com</w:t>
            </w:r>
          </w:p>
        </w:tc>
      </w:tr>
      <w:tr w14:paraId="1755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60" w:type="dxa"/>
            <w:noWrap/>
            <w:vAlign w:val="center"/>
          </w:tcPr>
          <w:p w14:paraId="1626DD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w:t>
            </w:r>
          </w:p>
        </w:tc>
        <w:tc>
          <w:tcPr>
            <w:tcW w:w="7826" w:type="dxa"/>
            <w:noWrap/>
            <w:vAlign w:val="center"/>
          </w:tcPr>
          <w:p w14:paraId="75ECFBC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是否为专门面向中小企业采购：</w:t>
            </w:r>
            <w:r>
              <w:rPr>
                <w:rFonts w:hint="eastAsia" w:ascii="仿宋" w:hAnsi="仿宋" w:eastAsia="仿宋" w:cs="仿宋"/>
                <w:b/>
                <w:bCs/>
                <w:color w:val="auto"/>
                <w:sz w:val="28"/>
                <w:szCs w:val="28"/>
                <w:lang w:val="en-US" w:eastAsia="zh-CN"/>
              </w:rPr>
              <w:t>否</w:t>
            </w:r>
          </w:p>
        </w:tc>
      </w:tr>
      <w:tr w14:paraId="16BF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60" w:type="dxa"/>
            <w:noWrap/>
            <w:vAlign w:val="center"/>
          </w:tcPr>
          <w:p w14:paraId="1ED2AF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w:t>
            </w:r>
          </w:p>
        </w:tc>
        <w:tc>
          <w:tcPr>
            <w:tcW w:w="7826" w:type="dxa"/>
            <w:noWrap/>
            <w:vAlign w:val="center"/>
          </w:tcPr>
          <w:p w14:paraId="0BA5595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是否允许采购进口产品：</w:t>
            </w:r>
            <w:r>
              <w:rPr>
                <w:rFonts w:hint="eastAsia" w:ascii="仿宋" w:hAnsi="仿宋" w:eastAsia="仿宋" w:cs="仿宋"/>
                <w:b/>
                <w:bCs/>
                <w:color w:val="auto"/>
                <w:sz w:val="28"/>
                <w:szCs w:val="28"/>
                <w:lang w:val="en-US" w:eastAsia="zh-CN"/>
              </w:rPr>
              <w:t>否</w:t>
            </w:r>
          </w:p>
        </w:tc>
      </w:tr>
      <w:tr w14:paraId="6CB0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60" w:type="dxa"/>
            <w:noWrap/>
            <w:vAlign w:val="center"/>
          </w:tcPr>
          <w:p w14:paraId="1790D4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7826" w:type="dxa"/>
            <w:noWrap/>
            <w:vAlign w:val="center"/>
          </w:tcPr>
          <w:p w14:paraId="3C32BE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踏勘现场：</w:t>
            </w:r>
          </w:p>
          <w:p w14:paraId="1D5B8F8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b/>
                <w:bCs/>
                <w:sz w:val="28"/>
                <w:szCs w:val="28"/>
              </w:rPr>
              <w:fldChar w:fldCharType="begin"/>
            </w:r>
            <w:r>
              <w:rPr>
                <w:rFonts w:hint="eastAsia" w:ascii="仿宋" w:hAnsi="仿宋" w:eastAsia="仿宋" w:cs="仿宋"/>
                <w:b/>
                <w:bCs/>
                <w:sz w:val="28"/>
                <w:szCs w:val="28"/>
                <w:lang w:eastAsia="zh-CN"/>
              </w:rPr>
              <w:instrText xml:space="preserve"> eq \o\ac(</w:instrText>
            </w:r>
            <w:r>
              <w:rPr>
                <w:rFonts w:hint="eastAsia" w:ascii="仿宋" w:hAnsi="仿宋" w:eastAsia="仿宋" w:cs="仿宋"/>
                <w:b/>
                <w:bCs/>
                <w:position w:val="-5"/>
                <w:sz w:val="42"/>
                <w:szCs w:val="28"/>
                <w:lang w:eastAsia="zh-CN"/>
              </w:rPr>
              <w:instrText xml:space="preserve">□</w:instrText>
            </w:r>
            <w:r>
              <w:rPr>
                <w:rFonts w:hint="eastAsia" w:ascii="仿宋" w:hAnsi="仿宋" w:eastAsia="仿宋" w:cs="仿宋"/>
                <w:b/>
                <w:bCs/>
                <w:sz w:val="28"/>
                <w:szCs w:val="28"/>
                <w:lang w:eastAsia="zh-CN"/>
              </w:rPr>
              <w:instrText xml:space="preserve">,√)</w:instrText>
            </w:r>
            <w:r>
              <w:rPr>
                <w:rFonts w:hint="eastAsia" w:ascii="仿宋" w:hAnsi="仿宋" w:eastAsia="仿宋" w:cs="仿宋"/>
                <w:b/>
                <w:bCs/>
                <w:sz w:val="28"/>
                <w:szCs w:val="28"/>
              </w:rPr>
              <w:fldChar w:fldCharType="end"/>
            </w:r>
            <w:r>
              <w:rPr>
                <w:rFonts w:hint="eastAsia" w:ascii="仿宋" w:hAnsi="仿宋" w:eastAsia="仿宋" w:cs="仿宋"/>
                <w:b/>
                <w:bCs/>
                <w:sz w:val="28"/>
                <w:szCs w:val="28"/>
                <w:lang w:eastAsia="zh-CN"/>
              </w:rPr>
              <w:t>不组织</w:t>
            </w:r>
            <w:r>
              <w:rPr>
                <w:rFonts w:hint="eastAsia" w:ascii="仿宋" w:hAnsi="仿宋" w:eastAsia="仿宋" w:cs="仿宋"/>
                <w:sz w:val="28"/>
                <w:szCs w:val="28"/>
                <w:lang w:eastAsia="zh-CN"/>
              </w:rPr>
              <w:t>，投标人可自行对项目现场和周围环境进行踏勘，踏勘现场所发生的费用由投标人自己承担。出现事故，责任由投标人自行承担。</w:t>
            </w:r>
          </w:p>
          <w:p w14:paraId="6AB93A4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single"/>
                <w:lang w:eastAsia="zh-CN"/>
              </w:rPr>
            </w:pPr>
            <w:r>
              <w:rPr>
                <w:rFonts w:hint="eastAsia" w:ascii="仿宋" w:hAnsi="仿宋" w:eastAsia="仿宋" w:cs="仿宋"/>
                <w:b/>
                <w:bCs/>
                <w:sz w:val="28"/>
                <w:szCs w:val="28"/>
                <w:lang w:eastAsia="zh-CN"/>
              </w:rPr>
              <w:t>□组织</w:t>
            </w:r>
            <w:r>
              <w:rPr>
                <w:rFonts w:hint="eastAsia" w:ascii="仿宋" w:hAnsi="仿宋" w:eastAsia="仿宋" w:cs="仿宋"/>
                <w:sz w:val="28"/>
                <w:szCs w:val="28"/>
                <w:lang w:eastAsia="zh-CN"/>
              </w:rPr>
              <w:t>，踏勘时间：</w:t>
            </w:r>
            <w:r>
              <w:rPr>
                <w:rFonts w:hint="eastAsia" w:ascii="仿宋" w:hAnsi="仿宋" w:eastAsia="仿宋" w:cs="仿宋"/>
                <w:sz w:val="28"/>
                <w:szCs w:val="28"/>
                <w:u w:val="single"/>
                <w:lang w:eastAsia="zh-CN"/>
              </w:rPr>
              <w:t xml:space="preserve">  /  </w:t>
            </w:r>
          </w:p>
          <w:p w14:paraId="0A2F416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踏勘集中地点：</w:t>
            </w:r>
            <w:r>
              <w:rPr>
                <w:rFonts w:hint="eastAsia" w:ascii="仿宋" w:hAnsi="仿宋" w:eastAsia="仿宋" w:cs="仿宋"/>
                <w:sz w:val="28"/>
                <w:szCs w:val="28"/>
                <w:u w:val="single"/>
                <w:lang w:eastAsia="zh-CN"/>
              </w:rPr>
              <w:t xml:space="preserve">  /  </w:t>
            </w:r>
          </w:p>
        </w:tc>
      </w:tr>
      <w:tr w14:paraId="41CF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5119C3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6.6</w:t>
            </w:r>
          </w:p>
        </w:tc>
        <w:tc>
          <w:tcPr>
            <w:tcW w:w="7826" w:type="dxa"/>
            <w:noWrap/>
            <w:vAlign w:val="center"/>
          </w:tcPr>
          <w:p w14:paraId="47E5153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是否允许联合体投标：</w:t>
            </w:r>
            <w:r>
              <w:rPr>
                <w:rFonts w:hint="eastAsia" w:ascii="仿宋" w:hAnsi="仿宋" w:eastAsia="仿宋" w:cs="仿宋"/>
                <w:b/>
                <w:bCs/>
                <w:color w:val="auto"/>
                <w:sz w:val="28"/>
                <w:szCs w:val="28"/>
                <w:lang w:val="en-US" w:eastAsia="zh-CN"/>
              </w:rPr>
              <w:t>否</w:t>
            </w:r>
          </w:p>
        </w:tc>
      </w:tr>
      <w:tr w14:paraId="6DC1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1846E00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trike/>
                <w:sz w:val="28"/>
                <w:szCs w:val="28"/>
                <w:highlight w:val="cyan"/>
              </w:rPr>
            </w:pPr>
            <w:r>
              <w:rPr>
                <w:rFonts w:hint="eastAsia" w:ascii="仿宋" w:hAnsi="仿宋" w:eastAsia="仿宋" w:cs="仿宋"/>
                <w:sz w:val="28"/>
                <w:szCs w:val="28"/>
                <w:lang w:val="en-US" w:eastAsia="zh-CN"/>
              </w:rPr>
              <w:t>17.2</w:t>
            </w:r>
          </w:p>
        </w:tc>
        <w:tc>
          <w:tcPr>
            <w:tcW w:w="7826" w:type="dxa"/>
            <w:noWrap/>
            <w:vAlign w:val="center"/>
          </w:tcPr>
          <w:p w14:paraId="4768938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trike/>
                <w:sz w:val="28"/>
                <w:szCs w:val="28"/>
                <w:highlight w:val="cyan"/>
                <w:lang w:eastAsia="zh-CN"/>
              </w:rPr>
            </w:pPr>
            <w:r>
              <w:rPr>
                <w:rFonts w:hint="eastAsia" w:ascii="仿宋" w:hAnsi="仿宋" w:eastAsia="仿宋" w:cs="仿宋"/>
                <w:sz w:val="28"/>
                <w:szCs w:val="28"/>
                <w:lang w:eastAsia="zh-CN"/>
              </w:rPr>
              <w:t>资格证明文件：须上传到“资格审查材料”中。</w:t>
            </w:r>
          </w:p>
        </w:tc>
      </w:tr>
      <w:tr w14:paraId="2F3A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511C8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18.3</w:t>
            </w:r>
          </w:p>
        </w:tc>
        <w:tc>
          <w:tcPr>
            <w:tcW w:w="7826" w:type="dxa"/>
            <w:noWrap/>
            <w:vAlign w:val="center"/>
          </w:tcPr>
          <w:p w14:paraId="01FA8BE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76731EE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）投标报价相关说明：</w:t>
            </w:r>
          </w:p>
          <w:p w14:paraId="70FDFEA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①</w:t>
            </w:r>
            <w:r>
              <w:rPr>
                <w:rFonts w:hint="eastAsia" w:ascii="仿宋" w:hAnsi="仿宋" w:eastAsia="仿宋" w:cs="仿宋"/>
                <w:sz w:val="28"/>
                <w:szCs w:val="28"/>
                <w:lang w:eastAsia="zh-CN"/>
              </w:rPr>
              <w:t>最低工资标准按</w:t>
            </w:r>
            <w:r>
              <w:rPr>
                <w:rFonts w:hint="eastAsia" w:ascii="仿宋" w:hAnsi="仿宋" w:eastAsia="仿宋" w:cs="仿宋"/>
                <w:sz w:val="28"/>
                <w:szCs w:val="28"/>
                <w:lang w:val="en-US" w:eastAsia="zh-CN"/>
              </w:rPr>
              <w:t>最新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河南省人民政府关于调整河南省最低工资标准的通知</w:t>
            </w:r>
            <w:r>
              <w:rPr>
                <w:rFonts w:hint="eastAsia" w:ascii="仿宋" w:hAnsi="仿宋" w:eastAsia="仿宋" w:cs="仿宋"/>
                <w:sz w:val="28"/>
                <w:szCs w:val="28"/>
                <w:lang w:eastAsia="zh-CN"/>
              </w:rPr>
              <w:t>》执行。</w:t>
            </w:r>
          </w:p>
          <w:p w14:paraId="596069A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②岗位人员工资、社会保险费、税金取费不得低于国家规定的最低标准。</w:t>
            </w:r>
          </w:p>
          <w:p w14:paraId="7D8A219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③若有特殊情况，请予以备注说明并提供相关证明。</w:t>
            </w:r>
          </w:p>
          <w:p w14:paraId="70A3CFD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）投标报价超过</w:t>
            </w:r>
            <w:r>
              <w:rPr>
                <w:rFonts w:hint="eastAsia" w:ascii="仿宋" w:hAnsi="仿宋" w:eastAsia="仿宋" w:cs="仿宋"/>
                <w:bCs/>
                <w:kern w:val="0"/>
                <w:sz w:val="28"/>
                <w:szCs w:val="28"/>
                <w:lang w:eastAsia="zh-CN"/>
              </w:rPr>
              <w:t>最高限价</w:t>
            </w:r>
            <w:r>
              <w:rPr>
                <w:rFonts w:hint="eastAsia" w:ascii="仿宋" w:hAnsi="仿宋" w:eastAsia="仿宋" w:cs="仿宋"/>
                <w:bCs/>
                <w:sz w:val="28"/>
                <w:szCs w:val="28"/>
                <w:lang w:eastAsia="zh-CN"/>
              </w:rPr>
              <w:t>的按无效投标处理。</w:t>
            </w:r>
          </w:p>
        </w:tc>
      </w:tr>
      <w:tr w14:paraId="6F87E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60" w:type="dxa"/>
            <w:noWrap/>
            <w:vAlign w:val="center"/>
          </w:tcPr>
          <w:p w14:paraId="462A74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napToGrid w:val="0"/>
                <w:sz w:val="28"/>
                <w:szCs w:val="28"/>
              </w:rPr>
              <w:t>19</w:t>
            </w:r>
          </w:p>
        </w:tc>
        <w:tc>
          <w:tcPr>
            <w:tcW w:w="7826" w:type="dxa"/>
            <w:noWrap/>
            <w:vAlign w:val="center"/>
          </w:tcPr>
          <w:p w14:paraId="20AFC1D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投标货币：人民币。</w:t>
            </w:r>
          </w:p>
        </w:tc>
      </w:tr>
      <w:tr w14:paraId="1AE7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60" w:type="dxa"/>
            <w:noWrap/>
            <w:vAlign w:val="center"/>
          </w:tcPr>
          <w:p w14:paraId="759A5E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7826" w:type="dxa"/>
            <w:noWrap/>
            <w:vAlign w:val="center"/>
          </w:tcPr>
          <w:p w14:paraId="32DA4E0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投标人资格证明文件：</w:t>
            </w:r>
          </w:p>
          <w:p w14:paraId="69449D44">
            <w:pPr>
              <w:keepNext w:val="0"/>
              <w:keepLines w:val="0"/>
              <w:pageBreakBefore w:val="0"/>
              <w:tabs>
                <w:tab w:val="left" w:pos="5580"/>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auto"/>
                <w:kern w:val="0"/>
                <w:sz w:val="28"/>
                <w:szCs w:val="28"/>
                <w:lang w:eastAsia="zh-CN"/>
              </w:rPr>
              <w:t>法人或者其他组织的营业执照等证明文件或自然人的身份证明</w:t>
            </w:r>
            <w:r>
              <w:rPr>
                <w:rFonts w:hint="eastAsia" w:ascii="仿宋" w:hAnsi="仿宋" w:eastAsia="仿宋" w:cs="仿宋"/>
                <w:sz w:val="28"/>
                <w:szCs w:val="28"/>
                <w:lang w:val="en-US" w:eastAsia="zh-CN"/>
              </w:rPr>
              <w:t>；</w:t>
            </w:r>
          </w:p>
          <w:p w14:paraId="34B8FDF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（2）2024年或2025年度财务审计报告扫描件（要求注册会计师签字并加盖会计师印章；如到投标截止时间，投标人成立时间不足1年的，可提供银行资信证明材料）；</w:t>
            </w:r>
          </w:p>
          <w:p w14:paraId="535B429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依法缴纳税收和社会保障资金的相关材料（提供自2025年6月1日以来至少一个月的纳税证明和社保缴纳证明，依法免税或不需要缴纳社会保障资金的，应提供相应文件证明其依法免税或不需要缴纳）。</w:t>
            </w:r>
          </w:p>
          <w:p w14:paraId="4906E59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（4）具备履行合同所必需的设备和专业技术能力的证明材料；</w:t>
            </w:r>
          </w:p>
          <w:p w14:paraId="700658D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color w:val="auto"/>
                <w:kern w:val="0"/>
                <w:sz w:val="28"/>
                <w:szCs w:val="28"/>
                <w:lang w:eastAsia="zh-CN"/>
              </w:rPr>
              <w:t>参加政府采购活动前</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年内在经营活动中没有重大违法记录的书面</w:t>
            </w:r>
            <w:r>
              <w:rPr>
                <w:rFonts w:hint="eastAsia" w:ascii="仿宋" w:hAnsi="仿宋" w:eastAsia="仿宋" w:cs="仿宋"/>
                <w:sz w:val="28"/>
                <w:szCs w:val="28"/>
                <w:lang w:val="en-US" w:eastAsia="zh-CN"/>
              </w:rPr>
              <w:t>声明；</w:t>
            </w:r>
          </w:p>
          <w:p w14:paraId="0E6A43B1">
            <w:pPr>
              <w:spacing w:line="360" w:lineRule="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单位负责人为同一人或者存在直接控股、管理关系的不同供应商，不得参加同一合同项下的政府采购活动（提供关联关系名单）</w:t>
            </w:r>
            <w:r>
              <w:rPr>
                <w:rFonts w:hint="default" w:ascii="Times New Roman" w:hAnsi="Times New Roman" w:eastAsia="仿宋_GB2312" w:cs="Times New Roman"/>
                <w:sz w:val="28"/>
                <w:szCs w:val="28"/>
                <w:lang w:val="en-US" w:eastAsia="zh-CN"/>
              </w:rPr>
              <w:t>。</w:t>
            </w:r>
          </w:p>
          <w:p w14:paraId="334DA58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（以上要求中，如有投标人成立时限不足要求时限的，由投标人根据自身成立时间提供证明资料。）</w:t>
            </w:r>
          </w:p>
        </w:tc>
      </w:tr>
      <w:tr w14:paraId="52D7F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60" w:type="dxa"/>
            <w:noWrap/>
            <w:vAlign w:val="center"/>
          </w:tcPr>
          <w:p w14:paraId="26E10B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.1</w:t>
            </w:r>
          </w:p>
        </w:tc>
        <w:tc>
          <w:tcPr>
            <w:tcW w:w="7826" w:type="dxa"/>
            <w:noWrap/>
            <w:vAlign w:val="center"/>
          </w:tcPr>
          <w:p w14:paraId="76B64C5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投标有效期：从投标截止之日起60日</w:t>
            </w:r>
          </w:p>
        </w:tc>
      </w:tr>
      <w:tr w14:paraId="54E3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52AE54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826" w:type="dxa"/>
            <w:noWrap/>
            <w:vAlign w:val="center"/>
          </w:tcPr>
          <w:p w14:paraId="582B4A7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加密电子投标文件的上传：加密电子投标文件须在投标截止时间前通过“河南省公共资源交易中心（</w:t>
            </w:r>
            <w:r>
              <w:rPr>
                <w:rFonts w:hint="eastAsia" w:ascii="仿宋" w:hAnsi="仿宋" w:eastAsia="仿宋" w:cs="仿宋"/>
                <w:sz w:val="28"/>
                <w:szCs w:val="28"/>
                <w:lang w:eastAsia="zh-CN"/>
              </w:rPr>
              <w:t>hnsggzyjy.henan.gov.cn</w:t>
            </w:r>
            <w:r>
              <w:rPr>
                <w:rFonts w:hint="eastAsia" w:ascii="仿宋" w:hAnsi="仿宋" w:eastAsia="仿宋" w:cs="仿宋"/>
                <w:sz w:val="28"/>
                <w:szCs w:val="28"/>
              </w:rPr>
              <w:t>）”电子交易平台加密上传。</w:t>
            </w:r>
          </w:p>
        </w:tc>
      </w:tr>
      <w:tr w14:paraId="1C30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0DA825A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.1</w:t>
            </w:r>
          </w:p>
        </w:tc>
        <w:tc>
          <w:tcPr>
            <w:tcW w:w="7826" w:type="dxa"/>
            <w:noWrap/>
            <w:vAlign w:val="center"/>
          </w:tcPr>
          <w:p w14:paraId="4163005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投标截止时间：详见“第一章 投标邀请”</w:t>
            </w:r>
          </w:p>
        </w:tc>
      </w:tr>
      <w:tr w14:paraId="2998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7" w:hRule="atLeast"/>
        </w:trPr>
        <w:tc>
          <w:tcPr>
            <w:tcW w:w="960" w:type="dxa"/>
            <w:noWrap/>
            <w:vAlign w:val="center"/>
          </w:tcPr>
          <w:p w14:paraId="663BF6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.1</w:t>
            </w:r>
          </w:p>
        </w:tc>
        <w:tc>
          <w:tcPr>
            <w:tcW w:w="7826" w:type="dxa"/>
            <w:noWrap/>
            <w:vAlign w:val="center"/>
          </w:tcPr>
          <w:p w14:paraId="0D93495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开标及解密方式：“远程不见面”开标方式，投标人无需到河南省公共资源交易中心现场参加开标会议。在投标截止时间前，投标人</w:t>
            </w:r>
            <w:r>
              <w:rPr>
                <w:rFonts w:hint="eastAsia" w:ascii="仿宋" w:hAnsi="仿宋" w:eastAsia="仿宋" w:cs="仿宋"/>
                <w:sz w:val="28"/>
                <w:szCs w:val="28"/>
                <w:lang w:val="en-US" w:eastAsia="zh-CN"/>
              </w:rPr>
              <w:t>登录</w:t>
            </w:r>
            <w:r>
              <w:rPr>
                <w:rFonts w:hint="eastAsia" w:ascii="仿宋" w:hAnsi="仿宋" w:eastAsia="仿宋" w:cs="仿宋"/>
                <w:sz w:val="28"/>
                <w:szCs w:val="28"/>
                <w:lang w:eastAsia="zh-CN"/>
              </w:rPr>
              <w:t>不见面开标大厅，在线准时参加开标活动并进行文件解密。未在规定时间内解密投标文件的投标人，其投标文件不予接受并退回。</w:t>
            </w:r>
          </w:p>
        </w:tc>
      </w:tr>
      <w:tr w14:paraId="03A7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409B8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.2</w:t>
            </w:r>
          </w:p>
        </w:tc>
        <w:tc>
          <w:tcPr>
            <w:tcW w:w="7826" w:type="dxa"/>
            <w:noWrap/>
            <w:vAlign w:val="center"/>
          </w:tcPr>
          <w:p w14:paraId="220DE3D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远程开标大厅网址：河南省公共资源交易中心 （hnsggzyjy.henan.gov.cn）——不见面开标大厅。</w:t>
            </w:r>
          </w:p>
        </w:tc>
      </w:tr>
      <w:tr w14:paraId="2597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9F260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.3</w:t>
            </w:r>
          </w:p>
        </w:tc>
        <w:tc>
          <w:tcPr>
            <w:tcW w:w="7826" w:type="dxa"/>
            <w:noWrap/>
            <w:vAlign w:val="center"/>
          </w:tcPr>
          <w:p w14:paraId="7D737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开标时间：详见“第一章 投标邀请”</w:t>
            </w:r>
          </w:p>
          <w:p w14:paraId="38D5DA4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eastAsia="zh-CN"/>
              </w:rPr>
            </w:pPr>
            <w:r>
              <w:rPr>
                <w:rFonts w:hint="eastAsia" w:ascii="仿宋" w:hAnsi="仿宋" w:eastAsia="仿宋" w:cs="仿宋"/>
                <w:color w:val="auto"/>
                <w:sz w:val="28"/>
                <w:szCs w:val="28"/>
                <w:lang w:val="en-US" w:eastAsia="zh-CN"/>
              </w:rPr>
              <w:t>开标地点：</w:t>
            </w:r>
            <w:r>
              <w:rPr>
                <w:rFonts w:hint="eastAsia" w:ascii="仿宋" w:hAnsi="仿宋" w:eastAsia="仿宋" w:cs="仿宋"/>
                <w:sz w:val="28"/>
                <w:szCs w:val="28"/>
                <w:lang w:eastAsia="zh-CN"/>
              </w:rPr>
              <w:t>详见“第一章 投标邀请”</w:t>
            </w:r>
          </w:p>
        </w:tc>
      </w:tr>
      <w:tr w14:paraId="16EB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73A64AD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.3</w:t>
            </w:r>
          </w:p>
        </w:tc>
        <w:tc>
          <w:tcPr>
            <w:tcW w:w="7826" w:type="dxa"/>
            <w:noWrap/>
            <w:vAlign w:val="center"/>
          </w:tcPr>
          <w:p w14:paraId="41C5A43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采购人依据以下标准对投标人的资格进行审查，有一项不符合审查标准的，该投标人资格为不合格。</w:t>
            </w:r>
          </w:p>
          <w:p w14:paraId="0BCD4917">
            <w:pPr>
              <w:keepNext w:val="0"/>
              <w:keepLines w:val="0"/>
              <w:pageBreakBefore w:val="0"/>
              <w:tabs>
                <w:tab w:val="left" w:pos="5580"/>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（1）法人</w:t>
            </w:r>
            <w:r>
              <w:rPr>
                <w:rFonts w:hint="eastAsia" w:ascii="仿宋" w:hAnsi="仿宋" w:eastAsia="仿宋" w:cs="仿宋"/>
                <w:color w:val="auto"/>
                <w:kern w:val="0"/>
                <w:sz w:val="28"/>
                <w:szCs w:val="28"/>
                <w:lang w:eastAsia="zh-CN"/>
              </w:rPr>
              <w:t>或者其他组织的营业执照等证明文件或自然人的身份证明符合招标文件规定；</w:t>
            </w:r>
          </w:p>
          <w:p w14:paraId="0F28B9D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（2）财务审计报告（2024年度或2025年度）等材料符合招标文件规定；</w:t>
            </w:r>
          </w:p>
          <w:p w14:paraId="29D3218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（3）依法缴纳税收和依法缴纳社会保障资金的证明材料符合招标文件规定（自2025年6月1日以来至少一个月）；</w:t>
            </w:r>
          </w:p>
          <w:p w14:paraId="772E644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（4）具备履行合同所必需的设备和专业技术能力；</w:t>
            </w:r>
          </w:p>
          <w:p w14:paraId="2A448C1F">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 w:eastAsia="zh-CN"/>
              </w:rPr>
            </w:pPr>
            <w:r>
              <w:rPr>
                <w:rFonts w:hint="eastAsia" w:ascii="仿宋" w:hAnsi="仿宋" w:eastAsia="仿宋" w:cs="仿宋"/>
                <w:sz w:val="28"/>
                <w:szCs w:val="28"/>
                <w:lang w:val="en-US" w:eastAsia="zh-CN"/>
              </w:rPr>
              <w:t>（5）参加政府采购活动前3年内在经营活动中没有重大违法记录声明符合招标文件规定；</w:t>
            </w:r>
          </w:p>
          <w:p w14:paraId="55C2B4BD">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（6）信用查询记录符合招标文件规定</w:t>
            </w:r>
            <w:r>
              <w:rPr>
                <w:rFonts w:hint="eastAsia" w:ascii="仿宋" w:hAnsi="仿宋" w:eastAsia="仿宋" w:cs="仿宋"/>
                <w:sz w:val="28"/>
                <w:szCs w:val="28"/>
                <w:lang w:val="en-US" w:eastAsia="zh-CN"/>
              </w:rPr>
              <w:t>；</w:t>
            </w:r>
          </w:p>
          <w:p w14:paraId="309E7753">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）不同投标人单位负责人不是同一人</w:t>
            </w:r>
            <w:r>
              <w:rPr>
                <w:rFonts w:hint="eastAsia" w:ascii="仿宋" w:hAnsi="仿宋" w:eastAsia="仿宋" w:cs="仿宋"/>
                <w:sz w:val="28"/>
                <w:szCs w:val="28"/>
                <w:lang w:val="en-US" w:eastAsia="zh-CN"/>
              </w:rPr>
              <w:t>且</w:t>
            </w:r>
            <w:r>
              <w:rPr>
                <w:rFonts w:hint="default" w:ascii="仿宋" w:hAnsi="仿宋" w:eastAsia="仿宋" w:cs="仿宋"/>
                <w:sz w:val="28"/>
                <w:szCs w:val="28"/>
                <w:lang w:val="en-US" w:eastAsia="zh-CN"/>
              </w:rPr>
              <w:t>未存在直接控股、管理关系；</w:t>
            </w:r>
          </w:p>
          <w:p w14:paraId="22CB7425">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非联合体投标</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投标人</w:t>
            </w:r>
            <w:r>
              <w:rPr>
                <w:rFonts w:hint="default" w:ascii="仿宋" w:hAnsi="仿宋" w:eastAsia="仿宋" w:cs="仿宋"/>
                <w:sz w:val="28"/>
                <w:szCs w:val="28"/>
                <w:lang w:val="en-US" w:eastAsia="zh-CN"/>
              </w:rPr>
              <w:t>无需提供证明材料）。</w:t>
            </w:r>
          </w:p>
        </w:tc>
      </w:tr>
      <w:tr w14:paraId="5C5BD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595B1F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1</w:t>
            </w:r>
            <w:r>
              <w:rPr>
                <w:rFonts w:hint="eastAsia" w:ascii="仿宋" w:hAnsi="仿宋" w:eastAsia="仿宋" w:cs="仿宋"/>
                <w:sz w:val="28"/>
                <w:szCs w:val="28"/>
              </w:rPr>
              <w:t>.4</w:t>
            </w:r>
          </w:p>
        </w:tc>
        <w:tc>
          <w:tcPr>
            <w:tcW w:w="7826" w:type="dxa"/>
            <w:noWrap/>
            <w:vAlign w:val="center"/>
          </w:tcPr>
          <w:p w14:paraId="4734D23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信用记录:</w:t>
            </w:r>
            <w:r>
              <w:rPr>
                <w:rFonts w:hint="eastAsia" w:ascii="仿宋" w:hAnsi="仿宋" w:eastAsia="仿宋" w:cs="仿宋"/>
                <w:sz w:val="28"/>
                <w:szCs w:val="28"/>
                <w:lang w:val="en-US" w:eastAsia="zh-CN"/>
              </w:rPr>
              <w:t>根据《关于在政府采购活动中查询及使用信用记录有关问题的通知》(财库〔2016〕125号)文的要求，采购人将在投标截止时间后当天在“信用中国”网站查询投标人“失信被执行人”和“重大税收违法失信主体名单”，在“中国政府采购网”站查询投标人“政府采购严重违法失信行为记录名单”；投标人被列入失信被执行人、重大税收违法失信主体名单、政府采购严重违法失信行为记录名单的，其投标文件作为无效处理。</w:t>
            </w:r>
          </w:p>
          <w:p w14:paraId="225ADFF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查询及记录方式：</w:t>
            </w:r>
            <w:r>
              <w:rPr>
                <w:rFonts w:hint="eastAsia" w:ascii="仿宋" w:hAnsi="仿宋" w:eastAsia="仿宋" w:cs="仿宋"/>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4807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23593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.1</w:t>
            </w:r>
          </w:p>
        </w:tc>
        <w:tc>
          <w:tcPr>
            <w:tcW w:w="7826" w:type="dxa"/>
            <w:noWrap/>
            <w:vAlign w:val="center"/>
          </w:tcPr>
          <w:p w14:paraId="2748D39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sz w:val="28"/>
                <w:szCs w:val="28"/>
                <w:lang w:eastAsia="zh-CN"/>
              </w:rPr>
            </w:pPr>
            <w:r>
              <w:rPr>
                <w:rFonts w:hint="eastAsia" w:ascii="仿宋" w:hAnsi="仿宋" w:eastAsia="仿宋" w:cs="仿宋"/>
                <w:sz w:val="28"/>
                <w:szCs w:val="28"/>
                <w:lang w:eastAsia="zh-CN"/>
              </w:rPr>
              <w:t>评标委员会负责具体评标事务。评标委员会由采购人代表和评审专家组成，成员人数应当为</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人，其中评审专家不得少于成员总数的三分之二。</w:t>
            </w:r>
          </w:p>
        </w:tc>
      </w:tr>
      <w:tr w14:paraId="64A1D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60" w:type="dxa"/>
            <w:noWrap/>
            <w:vAlign w:val="center"/>
          </w:tcPr>
          <w:p w14:paraId="68F8FF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826" w:type="dxa"/>
            <w:noWrap/>
            <w:vAlign w:val="center"/>
          </w:tcPr>
          <w:p w14:paraId="23D85A1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中小企业扶持：</w:t>
            </w:r>
            <w:r>
              <w:rPr>
                <w:rFonts w:hint="eastAsia" w:ascii="仿宋" w:hAnsi="仿宋" w:eastAsia="仿宋" w:cs="仿宋"/>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780E376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本采购项目所属行业：</w:t>
            </w:r>
            <w:r>
              <w:rPr>
                <w:rFonts w:hint="eastAsia" w:ascii="仿宋" w:hAnsi="仿宋" w:eastAsia="仿宋" w:cs="仿宋"/>
                <w:b/>
                <w:bCs/>
                <w:sz w:val="28"/>
                <w:szCs w:val="28"/>
                <w:u w:val="single"/>
                <w:lang w:val="en-US" w:eastAsia="zh-CN"/>
              </w:rPr>
              <w:t>物业管理</w:t>
            </w:r>
            <w:r>
              <w:rPr>
                <w:rFonts w:hint="eastAsia" w:ascii="仿宋" w:hAnsi="仿宋" w:eastAsia="仿宋" w:cs="仿宋"/>
                <w:b/>
                <w:bCs/>
                <w:sz w:val="28"/>
                <w:szCs w:val="28"/>
                <w:lang w:val="en-US" w:eastAsia="zh-CN"/>
              </w:rPr>
              <w:t>。</w:t>
            </w:r>
          </w:p>
        </w:tc>
      </w:tr>
      <w:tr w14:paraId="0689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3AD4221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36.2</w:t>
            </w:r>
          </w:p>
        </w:tc>
        <w:tc>
          <w:tcPr>
            <w:tcW w:w="7826" w:type="dxa"/>
            <w:noWrap/>
            <w:vAlign w:val="center"/>
          </w:tcPr>
          <w:p w14:paraId="529F7670">
            <w:pPr>
              <w:keepNext w:val="0"/>
              <w:keepLines w:val="0"/>
              <w:pageBreakBefore w:val="0"/>
              <w:kinsoku/>
              <w:wordWrap/>
              <w:overflowPunct/>
              <w:topLinePunct w:val="0"/>
              <w:bidi w:val="0"/>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支持本国产品内容：</w:t>
            </w:r>
          </w:p>
          <w:p w14:paraId="086836EF">
            <w:pPr>
              <w:keepNext w:val="0"/>
              <w:keepLines w:val="0"/>
              <w:pageBreakBefore w:val="0"/>
              <w:kinsoku/>
              <w:wordWrap/>
              <w:overflowPunct/>
              <w:topLinePunct w:val="0"/>
              <w:bidi w:val="0"/>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sym w:font="Wingdings 2" w:char="00A3"/>
            </w:r>
            <w:r>
              <w:rPr>
                <w:rFonts w:hint="eastAsia" w:ascii="仿宋" w:hAnsi="仿宋" w:eastAsia="仿宋" w:cs="仿宋"/>
                <w:b/>
                <w:bCs/>
                <w:color w:val="auto"/>
                <w:sz w:val="28"/>
                <w:szCs w:val="28"/>
                <w:highlight w:val="none"/>
                <w:lang w:val="en-US" w:eastAsia="zh-CN"/>
              </w:rPr>
              <w:t>适用</w:t>
            </w:r>
            <w:r>
              <w:rPr>
                <w:rFonts w:hint="eastAsia" w:ascii="仿宋" w:hAnsi="仿宋" w:eastAsia="仿宋" w:cs="仿宋"/>
                <w:color w:val="auto"/>
                <w:sz w:val="28"/>
                <w:szCs w:val="28"/>
                <w:highlight w:val="none"/>
                <w:lang w:val="en-US" w:eastAsia="zh-CN"/>
              </w:rPr>
              <w:t>，本国产品标准适用于货物，包括政府采购货物项目和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B01F8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☑不适用</w:t>
            </w:r>
          </w:p>
        </w:tc>
      </w:tr>
      <w:tr w14:paraId="76B83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384B75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1</w:t>
            </w:r>
          </w:p>
        </w:tc>
        <w:tc>
          <w:tcPr>
            <w:tcW w:w="7826" w:type="dxa"/>
            <w:noWrap/>
            <w:vAlign w:val="center"/>
          </w:tcPr>
          <w:p w14:paraId="4208B0D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评标方法：综合评分法。</w:t>
            </w:r>
          </w:p>
          <w:p w14:paraId="1FCD096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6446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67A711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38</w:t>
            </w:r>
          </w:p>
        </w:tc>
        <w:tc>
          <w:tcPr>
            <w:tcW w:w="7826" w:type="dxa"/>
            <w:noWrap/>
            <w:vAlign w:val="center"/>
          </w:tcPr>
          <w:p w14:paraId="2689455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（1）根据评审后得分由高到低的顺序推荐3名中标候选人；</w:t>
            </w:r>
          </w:p>
          <w:p w14:paraId="6E40755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（2）评审得分相同的，按投标报价由低到高顺序推荐排列；评审得分且投标报价相同的并列。</w:t>
            </w:r>
          </w:p>
        </w:tc>
      </w:tr>
      <w:tr w14:paraId="7A53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6A4BAD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41.1</w:t>
            </w:r>
          </w:p>
        </w:tc>
        <w:tc>
          <w:tcPr>
            <w:tcW w:w="7826" w:type="dxa"/>
            <w:noWrap/>
            <w:vAlign w:val="center"/>
          </w:tcPr>
          <w:p w14:paraId="3AF199A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中标结果公告媒介：《河南省政府采购网》《河南省公共资源交易中心网》</w:t>
            </w:r>
          </w:p>
        </w:tc>
      </w:tr>
      <w:tr w14:paraId="70BC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7DC76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p>
        </w:tc>
        <w:tc>
          <w:tcPr>
            <w:tcW w:w="7826" w:type="dxa"/>
            <w:noWrap/>
            <w:vAlign w:val="center"/>
          </w:tcPr>
          <w:p w14:paraId="2EF442E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3F87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19D1EE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46</w:t>
            </w:r>
          </w:p>
        </w:tc>
        <w:tc>
          <w:tcPr>
            <w:tcW w:w="7826" w:type="dxa"/>
            <w:noWrap/>
            <w:vAlign w:val="center"/>
          </w:tcPr>
          <w:p w14:paraId="2A00AF2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履约保证金：</w:t>
            </w:r>
          </w:p>
          <w:p w14:paraId="21ABDAF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（1）缴纳时间：中标人需在合同签订后30日历天内向采购方缴纳；</w:t>
            </w:r>
          </w:p>
          <w:p w14:paraId="7D6D87E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（2）履约保证金的金额：合同金额的5%；</w:t>
            </w:r>
          </w:p>
          <w:p w14:paraId="40A1C84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（3）交纳方式：以电汇、支票、汇票、本票、保函等非现金形式；</w:t>
            </w:r>
          </w:p>
          <w:p w14:paraId="0B23D6CD">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（4）履约保证金的退还：在中标人履行完合同约定义务事项后退还。</w:t>
            </w:r>
          </w:p>
        </w:tc>
      </w:tr>
      <w:tr w14:paraId="625D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2E4467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w:t>
            </w:r>
          </w:p>
        </w:tc>
        <w:tc>
          <w:tcPr>
            <w:tcW w:w="7826" w:type="dxa"/>
            <w:noWrap/>
            <w:vAlign w:val="center"/>
          </w:tcPr>
          <w:p w14:paraId="5CAF6E0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招标代理费</w:t>
            </w:r>
            <w:r>
              <w:rPr>
                <w:rFonts w:hint="eastAsia" w:ascii="仿宋" w:hAnsi="仿宋" w:eastAsia="仿宋" w:cs="仿宋"/>
                <w:sz w:val="28"/>
                <w:szCs w:val="28"/>
              </w:rPr>
              <w:t>：免费。</w:t>
            </w:r>
          </w:p>
        </w:tc>
      </w:tr>
      <w:tr w14:paraId="649B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34" w:hRule="atLeast"/>
        </w:trPr>
        <w:tc>
          <w:tcPr>
            <w:tcW w:w="960" w:type="dxa"/>
            <w:noWrap/>
            <w:vAlign w:val="center"/>
          </w:tcPr>
          <w:p w14:paraId="7D3A50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49.2</w:t>
            </w:r>
          </w:p>
        </w:tc>
        <w:tc>
          <w:tcPr>
            <w:tcW w:w="7826" w:type="dxa"/>
            <w:noWrap/>
            <w:vAlign w:val="center"/>
          </w:tcPr>
          <w:p w14:paraId="6FCE051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投标人应在法定质疑期内针对同一采购程序环节的质疑次数：一次。</w:t>
            </w:r>
          </w:p>
        </w:tc>
      </w:tr>
      <w:tr w14:paraId="3FB6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60" w:type="dxa"/>
            <w:noWrap/>
            <w:vAlign w:val="center"/>
          </w:tcPr>
          <w:p w14:paraId="0E32EF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p>
        </w:tc>
        <w:tc>
          <w:tcPr>
            <w:tcW w:w="7826" w:type="dxa"/>
            <w:noWrap/>
            <w:vAlign w:val="center"/>
          </w:tcPr>
          <w:p w14:paraId="560119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b/>
                <w:bCs/>
                <w:sz w:val="28"/>
                <w:szCs w:val="28"/>
              </w:rPr>
              <w:t>需要补充的其他内容</w:t>
            </w:r>
          </w:p>
        </w:tc>
      </w:tr>
      <w:tr w14:paraId="2BF9D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7FA2AD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50</w:t>
            </w:r>
            <w:r>
              <w:rPr>
                <w:rFonts w:hint="eastAsia" w:ascii="仿宋" w:hAnsi="仿宋" w:eastAsia="仿宋" w:cs="仿宋"/>
                <w:sz w:val="28"/>
                <w:szCs w:val="28"/>
                <w:lang w:eastAsia="zh-CN"/>
              </w:rPr>
              <w:t>.1</w:t>
            </w:r>
          </w:p>
        </w:tc>
        <w:tc>
          <w:tcPr>
            <w:tcW w:w="7826" w:type="dxa"/>
            <w:noWrap/>
            <w:vAlign w:val="center"/>
          </w:tcPr>
          <w:p w14:paraId="6C51EB4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付款方式：</w:t>
            </w:r>
          </w:p>
          <w:p w14:paraId="2B33390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付方式与程序：物业管理服务费按月支付，采购人在对中标人上一月的服务考核后，于月底之前支付上一月费用。每次支付前三日，由中标人向采购人提供合法有效的发票。按照《河南财经政法大学郑东校区物业管理服务考核办法》扣减物业管理服务费。遇节假日或寒暑假则顺延。</w:t>
            </w:r>
          </w:p>
          <w:p w14:paraId="1A892DB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2.在本项目合同履行期限内，物业管理服务费不因原材料及人力费用等市场行情变化而变动。</w:t>
            </w:r>
          </w:p>
        </w:tc>
      </w:tr>
      <w:tr w14:paraId="3936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60" w:type="dxa"/>
            <w:noWrap/>
            <w:vAlign w:val="center"/>
          </w:tcPr>
          <w:p w14:paraId="6577B7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50.2</w:t>
            </w:r>
          </w:p>
        </w:tc>
        <w:tc>
          <w:tcPr>
            <w:tcW w:w="7826" w:type="dxa"/>
            <w:noWrap/>
            <w:vAlign w:val="center"/>
          </w:tcPr>
          <w:p w14:paraId="349F9E1F">
            <w:pPr>
              <w:keepNext w:val="0"/>
              <w:keepLines w:val="0"/>
              <w:pageBreakBefore w:val="0"/>
              <w:tabs>
                <w:tab w:val="left" w:pos="3150"/>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kern w:val="0"/>
                <w:sz w:val="28"/>
                <w:szCs w:val="28"/>
                <w:lang w:val="en-US" w:eastAsia="zh-CN"/>
              </w:rPr>
              <w:t>“</w:t>
            </w:r>
            <w:r>
              <w:rPr>
                <w:rFonts w:hint="eastAsia" w:ascii="仿宋" w:hAnsi="仿宋" w:eastAsia="仿宋" w:cs="仿宋"/>
                <w:b/>
                <w:bCs/>
                <w:sz w:val="28"/>
                <w:szCs w:val="28"/>
                <w:lang w:val="en-US" w:eastAsia="zh-CN"/>
              </w:rPr>
              <w:t>一号咨询”服务：</w:t>
            </w:r>
            <w:r>
              <w:rPr>
                <w:rFonts w:hint="eastAsia" w:ascii="仿宋" w:hAnsi="仿宋" w:eastAsia="仿宋" w:cs="仿宋"/>
                <w:kern w:val="0"/>
                <w:sz w:val="28"/>
                <w:szCs w:val="28"/>
                <w:lang w:val="en-US" w:eastAsia="zh-CN"/>
              </w:rPr>
              <w:t>市场主体拨打0371-61335566即可咨询河南省公共资源交易中心业务的相关问题。</w:t>
            </w:r>
          </w:p>
        </w:tc>
      </w:tr>
    </w:tbl>
    <w:p w14:paraId="4AD22DA5">
      <w:pPr>
        <w:rPr>
          <w:rFonts w:hint="eastAsia"/>
          <w:lang w:eastAsia="zh-CN"/>
        </w:rPr>
      </w:pPr>
    </w:p>
    <w:p w14:paraId="03242C0D">
      <w:pPr>
        <w:pageBreakBefore w:val="0"/>
        <w:wordWrap/>
        <w:topLinePunct w:val="0"/>
        <w:bidi w:val="0"/>
        <w:spacing w:line="360" w:lineRule="auto"/>
        <w:jc w:val="left"/>
        <w:rPr>
          <w:rFonts w:hint="eastAsia" w:ascii="仿宋" w:hAnsi="仿宋" w:eastAsia="仿宋" w:cs="仿宋"/>
          <w:color w:val="auto"/>
          <w:sz w:val="24"/>
          <w:szCs w:val="24"/>
          <w:lang w:eastAsia="zh-CN"/>
        </w:rPr>
      </w:pPr>
    </w:p>
    <w:p w14:paraId="75916537">
      <w:pPr>
        <w:pageBreakBefore w:val="0"/>
        <w:wordWrap/>
        <w:topLinePunct w:val="0"/>
        <w:bidi w:val="0"/>
        <w:spacing w:line="360" w:lineRule="auto"/>
        <w:ind w:left="1077" w:hanging="539"/>
        <w:rPr>
          <w:rFonts w:hint="eastAsia" w:ascii="仿宋" w:hAnsi="仿宋" w:eastAsia="仿宋" w:cs="仿宋"/>
          <w:color w:val="auto"/>
          <w:lang w:eastAsia="zh-CN"/>
        </w:rPr>
        <w:sectPr>
          <w:footerReference r:id="rId5" w:type="default"/>
          <w:pgSz w:w="11900" w:h="16840"/>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5C51D6D6">
      <w:pPr>
        <w:pStyle w:val="6"/>
        <w:pageBreakBefore w:val="0"/>
        <w:wordWrap/>
        <w:topLinePunct w:val="0"/>
        <w:bidi w:val="0"/>
        <w:spacing w:before="0" w:after="0" w:line="360" w:lineRule="auto"/>
        <w:jc w:val="center"/>
        <w:rPr>
          <w:rFonts w:hint="eastAsia" w:ascii="仿宋" w:hAnsi="仿宋" w:eastAsia="仿宋" w:cs="仿宋"/>
          <w:color w:val="auto"/>
          <w:sz w:val="36"/>
          <w:szCs w:val="36"/>
          <w:lang w:val="en-US" w:eastAsia="zh-CN"/>
        </w:rPr>
      </w:pPr>
      <w:bookmarkStart w:id="112" w:name="_Toc1855516403"/>
      <w:bookmarkStart w:id="113" w:name="_Toc580298809"/>
      <w:bookmarkStart w:id="114" w:name="_Toc1810187627_WPSOffice_Level1"/>
      <w:bookmarkStart w:id="115" w:name="_Toc914717081"/>
      <w:bookmarkStart w:id="116" w:name="_Toc2118786865_WPSOffice_Level1"/>
      <w:bookmarkStart w:id="117" w:name="_Toc653624039"/>
      <w:bookmarkStart w:id="118" w:name="_Toc540794793"/>
      <w:bookmarkStart w:id="119" w:name="_Toc194396107"/>
      <w:bookmarkStart w:id="120" w:name="_Toc696406431"/>
      <w:bookmarkStart w:id="121" w:name="_Toc1344387214"/>
      <w:bookmarkStart w:id="122" w:name="_Toc1341383622_WPSOffice_Level1"/>
      <w:bookmarkStart w:id="123" w:name="_Toc511855247"/>
      <w:bookmarkStart w:id="124" w:name="_Toc1639549268"/>
      <w:bookmarkStart w:id="125" w:name="_Toc309192439"/>
      <w:bookmarkStart w:id="126" w:name="_Toc15445"/>
      <w:bookmarkStart w:id="127" w:name="_Toc457436968_WPSOffice_Level1"/>
      <w:bookmarkStart w:id="128" w:name="_Toc1484219635"/>
      <w:bookmarkStart w:id="129" w:name="_Toc672784450_WPSOffice_Level1"/>
      <w:bookmarkStart w:id="130" w:name="_Toc754728636"/>
      <w:bookmarkStart w:id="131" w:name="_Toc435542012"/>
      <w:r>
        <w:rPr>
          <w:rFonts w:hint="eastAsia" w:ascii="仿宋" w:hAnsi="仿宋" w:eastAsia="仿宋" w:cs="仿宋"/>
          <w:color w:val="auto"/>
          <w:sz w:val="36"/>
          <w:szCs w:val="36"/>
          <w:lang w:val="en-US" w:eastAsia="zh-CN"/>
        </w:rPr>
        <w:t xml:space="preserve">第三章 </w:t>
      </w:r>
      <w:r>
        <w:rPr>
          <w:rFonts w:hint="eastAsia" w:ascii="仿宋" w:hAnsi="仿宋" w:eastAsia="仿宋" w:cs="仿宋"/>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02DF3A4">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32" w:name="_Toc1239566703"/>
      <w:bookmarkStart w:id="133" w:name="_Toc1698066625"/>
      <w:bookmarkStart w:id="134" w:name="_Toc587412607"/>
      <w:bookmarkStart w:id="135" w:name="_Toc963499806"/>
      <w:bookmarkStart w:id="136" w:name="_Toc2103873687_WPSOffice_Level2"/>
      <w:bookmarkStart w:id="137" w:name="_Toc1875035149"/>
      <w:bookmarkStart w:id="138" w:name="_Toc547533145"/>
      <w:bookmarkStart w:id="139" w:name="_Toc72595909_WPSOffice_Level2"/>
      <w:bookmarkStart w:id="140" w:name="_Toc1724158210_WPSOffice_Level2"/>
      <w:bookmarkStart w:id="141" w:name="_Toc1820077040_WPSOffice_Level2"/>
      <w:bookmarkStart w:id="142" w:name="_Toc1605126531"/>
      <w:bookmarkStart w:id="143" w:name="_Toc753331058"/>
      <w:bookmarkStart w:id="144" w:name="_Toc1547883234"/>
      <w:bookmarkStart w:id="145" w:name="_Toc1420306246"/>
      <w:bookmarkStart w:id="146" w:name="_Toc795505054"/>
      <w:bookmarkStart w:id="147" w:name="_Toc6348"/>
      <w:bookmarkStart w:id="148" w:name="_Toc1053718759_WPSOffice_Level2"/>
      <w:bookmarkStart w:id="149" w:name="_Toc225324457"/>
      <w:r>
        <w:rPr>
          <w:rFonts w:hint="eastAsia" w:ascii="仿宋" w:hAnsi="仿宋" w:eastAsia="仿宋" w:cs="仿宋"/>
          <w:b/>
          <w:bCs w:val="0"/>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7FBF23C">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适用范围</w:t>
      </w:r>
    </w:p>
    <w:p w14:paraId="3468EFF0">
      <w:pPr>
        <w:pageBreakBefore w:val="0"/>
        <w:wordWrap/>
        <w:topLinePunct w:val="0"/>
        <w:bidi w:val="0"/>
        <w:spacing w:line="360" w:lineRule="auto"/>
        <w:rPr>
          <w:rFonts w:hint="eastAsia" w:ascii="仿宋" w:hAnsi="仿宋" w:eastAsia="仿宋" w:cs="仿宋"/>
          <w:sz w:val="28"/>
          <w:szCs w:val="28"/>
          <w:lang w:eastAsia="zh-CN"/>
        </w:rPr>
      </w:pPr>
      <w:bookmarkStart w:id="150" w:name="_Toc196648728_WPSOffice_Level3"/>
      <w:bookmarkStart w:id="151" w:name="_Toc187354401_WPSOffice_Level3"/>
      <w:bookmarkStart w:id="152" w:name="_Toc532150620_WPSOffice_Level3"/>
      <w:r>
        <w:rPr>
          <w:rFonts w:hint="eastAsia" w:ascii="仿宋" w:hAnsi="仿宋" w:eastAsia="仿宋" w:cs="仿宋"/>
          <w:sz w:val="28"/>
          <w:szCs w:val="28"/>
          <w:lang w:eastAsia="zh-CN"/>
        </w:rPr>
        <w:t>1.1本招标文件仅适用于本次公开招标所述的服务。</w:t>
      </w:r>
      <w:bookmarkEnd w:id="150"/>
      <w:bookmarkEnd w:id="151"/>
      <w:bookmarkEnd w:id="152"/>
    </w:p>
    <w:p w14:paraId="58C7A912">
      <w:pPr>
        <w:pageBreakBefore w:val="0"/>
        <w:wordWrap/>
        <w:topLinePunct w:val="0"/>
        <w:bidi w:val="0"/>
        <w:spacing w:line="360" w:lineRule="auto"/>
        <w:rPr>
          <w:rFonts w:hint="eastAsia" w:ascii="仿宋" w:hAnsi="仿宋" w:eastAsia="仿宋" w:cs="仿宋"/>
          <w:sz w:val="28"/>
          <w:szCs w:val="28"/>
          <w:lang w:eastAsia="zh-CN"/>
        </w:rPr>
      </w:pPr>
      <w:bookmarkStart w:id="153" w:name="_Toc1359847161_WPSOffice_Level3"/>
      <w:bookmarkStart w:id="154" w:name="_Toc900722191_WPSOffice_Level3"/>
      <w:bookmarkStart w:id="155" w:name="_Toc548249303_WPSOffice_Level3"/>
      <w:r>
        <w:rPr>
          <w:rFonts w:hint="eastAsia" w:ascii="仿宋" w:hAnsi="仿宋" w:eastAsia="仿宋" w:cs="仿宋"/>
          <w:sz w:val="28"/>
          <w:szCs w:val="28"/>
          <w:lang w:eastAsia="zh-CN"/>
        </w:rPr>
        <w:t>1.2采购项目：见“投标人须知前附表”。</w:t>
      </w:r>
      <w:bookmarkEnd w:id="153"/>
      <w:bookmarkEnd w:id="154"/>
      <w:bookmarkEnd w:id="155"/>
    </w:p>
    <w:p w14:paraId="3EF002DD">
      <w:pPr>
        <w:pageBreakBefore w:val="0"/>
        <w:wordWrap/>
        <w:topLinePunct w:val="0"/>
        <w:bidi w:val="0"/>
        <w:spacing w:line="360" w:lineRule="auto"/>
        <w:rPr>
          <w:rFonts w:hint="eastAsia" w:ascii="仿宋" w:hAnsi="仿宋" w:eastAsia="仿宋" w:cs="仿宋"/>
          <w:sz w:val="28"/>
          <w:szCs w:val="28"/>
          <w:lang w:eastAsia="zh-CN"/>
        </w:rPr>
      </w:pPr>
      <w:bookmarkStart w:id="156" w:name="_Toc1512585633_WPSOffice_Level3"/>
      <w:bookmarkStart w:id="157" w:name="_Toc334765003_WPSOffice_Level3"/>
      <w:bookmarkStart w:id="158" w:name="_Toc1100833192_WPSOffice_Level3"/>
      <w:r>
        <w:rPr>
          <w:rFonts w:hint="eastAsia" w:ascii="仿宋" w:hAnsi="仿宋" w:eastAsia="仿宋" w:cs="仿宋"/>
          <w:sz w:val="28"/>
          <w:szCs w:val="28"/>
          <w:lang w:eastAsia="zh-CN"/>
        </w:rPr>
        <w:t>1.3采购编号：见“投标人须知前附表”。</w:t>
      </w:r>
      <w:bookmarkEnd w:id="156"/>
      <w:bookmarkEnd w:id="157"/>
      <w:bookmarkEnd w:id="158"/>
    </w:p>
    <w:p w14:paraId="2770C5C3">
      <w:pPr>
        <w:pageBreakBefore w:val="0"/>
        <w:wordWrap/>
        <w:topLinePunct w:val="0"/>
        <w:bidi w:val="0"/>
        <w:spacing w:line="360" w:lineRule="auto"/>
        <w:rPr>
          <w:rFonts w:hint="eastAsia" w:ascii="仿宋" w:hAnsi="仿宋" w:eastAsia="仿宋" w:cs="仿宋"/>
          <w:sz w:val="28"/>
          <w:szCs w:val="28"/>
          <w:lang w:eastAsia="zh-CN"/>
        </w:rPr>
      </w:pPr>
      <w:bookmarkStart w:id="159" w:name="_Toc979196621_WPSOffice_Level3"/>
      <w:bookmarkStart w:id="160" w:name="_Toc1513112147_WPSOffice_Level3"/>
      <w:bookmarkStart w:id="161" w:name="_Toc2062433103_WPSOffice_Level3"/>
      <w:r>
        <w:rPr>
          <w:rFonts w:hint="eastAsia" w:ascii="仿宋" w:hAnsi="仿宋" w:eastAsia="仿宋" w:cs="仿宋"/>
          <w:sz w:val="28"/>
          <w:szCs w:val="28"/>
          <w:lang w:eastAsia="zh-CN"/>
        </w:rPr>
        <w:t>1.4采购项目简要说明：见“投标人须知前附表”。</w:t>
      </w:r>
      <w:bookmarkEnd w:id="159"/>
      <w:bookmarkEnd w:id="160"/>
      <w:bookmarkEnd w:id="161"/>
    </w:p>
    <w:p w14:paraId="67EFDC7E">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定义</w:t>
      </w:r>
    </w:p>
    <w:p w14:paraId="4A261FF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2.1政府采购监督管理部门：河南省财政厅。</w:t>
      </w:r>
    </w:p>
    <w:p w14:paraId="1886F59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2.2采购人：</w:t>
      </w:r>
      <w:r>
        <w:rPr>
          <w:rFonts w:hint="eastAsia" w:ascii="仿宋" w:hAnsi="仿宋" w:eastAsia="仿宋" w:cs="仿宋"/>
          <w:sz w:val="28"/>
          <w:szCs w:val="28"/>
          <w:lang w:val="en-US" w:eastAsia="zh-CN"/>
        </w:rPr>
        <w:t>是指依法进行政府采购的国家机关、事业单位、团体组织。本项目的采购人见投标人须知前附表。</w:t>
      </w:r>
    </w:p>
    <w:p w14:paraId="0203740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2.3集中采购机构：“投标人须知前附表”中所述的受采购人委托组织集中采购的代理机构。</w:t>
      </w:r>
    </w:p>
    <w:p w14:paraId="48C00A6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2.4集中采购：是指政府集中采购目录及限额标准规定的集中采购项目的采购活动。</w:t>
      </w:r>
    </w:p>
    <w:p w14:paraId="057A0F9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2.5合格投标人：提供资格证明文件并通过资格审查的投标人。</w:t>
      </w:r>
    </w:p>
    <w:p w14:paraId="3653F40A">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2.5.1若投标人须知前附表中写明专门面向中小企业采购的，如投标人为非中小企业，其投标将被认定为投标无效。</w:t>
      </w:r>
    </w:p>
    <w:p w14:paraId="6C10C28A">
      <w:pPr>
        <w:pageBreakBefore w:val="0"/>
        <w:wordWrap/>
        <w:topLinePunct w:val="0"/>
        <w:bidi w:val="0"/>
        <w:spacing w:line="360" w:lineRule="auto"/>
        <w:rPr>
          <w:rFonts w:hint="eastAsia" w:ascii="仿宋" w:hAnsi="仿宋" w:eastAsia="仿宋" w:cs="仿宋"/>
          <w:lang w:val="en-US" w:eastAsia="zh-CN"/>
        </w:rPr>
      </w:pPr>
      <w:r>
        <w:rPr>
          <w:rFonts w:hint="eastAsia" w:ascii="仿宋" w:hAnsi="仿宋" w:eastAsia="仿宋" w:cs="仿宋"/>
          <w:sz w:val="28"/>
          <w:szCs w:val="28"/>
          <w:lang w:val="en-US" w:eastAsia="zh-CN"/>
        </w:rPr>
        <w:t>2.5.2</w:t>
      </w:r>
      <w:r>
        <w:rPr>
          <w:rFonts w:hint="eastAsia" w:ascii="仿宋" w:hAnsi="仿宋" w:eastAsia="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5A7C1E6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2.6投标文件：指投标人根据招标文件提交的所有文件。</w:t>
      </w:r>
    </w:p>
    <w:p w14:paraId="16BA2C1E">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投标费用</w:t>
      </w:r>
    </w:p>
    <w:p w14:paraId="07386D0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投标人须自行承担所有与参加投标有关的费用，无论投标的结果如何，采购人和集中采购机构在任何情况下均无义务和责任承担这些费用。</w:t>
      </w:r>
    </w:p>
    <w:p w14:paraId="41CDD5CA">
      <w:pPr>
        <w:pageBreakBefore w:val="0"/>
        <w:wordWrap/>
        <w:topLinePunct w:val="0"/>
        <w:bidi w:val="0"/>
        <w:spacing w:line="360" w:lineRule="auto"/>
        <w:rPr>
          <w:rFonts w:hint="eastAsia" w:ascii="仿宋" w:hAnsi="仿宋" w:eastAsia="仿宋" w:cs="仿宋"/>
          <w:b/>
          <w:bCs/>
          <w:sz w:val="28"/>
          <w:szCs w:val="28"/>
          <w:lang w:eastAsia="zh-CN"/>
        </w:rPr>
      </w:pPr>
      <w:bookmarkStart w:id="162" w:name="_Toc337225031"/>
      <w:bookmarkStart w:id="163" w:name="_Toc284337471"/>
      <w:bookmarkStart w:id="164" w:name="_Toc441214089"/>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踏勘现场</w:t>
      </w:r>
      <w:bookmarkEnd w:id="162"/>
      <w:bookmarkEnd w:id="163"/>
      <w:bookmarkEnd w:id="164"/>
    </w:p>
    <w:p w14:paraId="28AF1F9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4.1“投标人须知前附表”规定组织踏勘现场的，采购人按“投标人须知前附表”规定的时间、地点组织投标人踏勘项目现场。</w:t>
      </w:r>
    </w:p>
    <w:p w14:paraId="188C99B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4.2投标人踏勘现场发生的费用自理。</w:t>
      </w:r>
    </w:p>
    <w:p w14:paraId="701E553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4.3除采购人的原因外，投标人自行负责在踏勘现场中所发生的人员伤亡和财产损失。</w:t>
      </w:r>
    </w:p>
    <w:p w14:paraId="683ABEA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4.4采购人在踏勘现场中介绍的项目现场和相关的周边环境情况，供投标人在编制投标文件时参考，采购人不对投标人据此作出的判断和决策负责。</w:t>
      </w:r>
    </w:p>
    <w:p w14:paraId="5A237110">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5.知识产权</w:t>
      </w:r>
    </w:p>
    <w:p w14:paraId="398799FF">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GB" w:eastAsia="zh-CN"/>
        </w:rPr>
        <w:t>所有涉及知识产权的成果，</w:t>
      </w:r>
      <w:r>
        <w:rPr>
          <w:rFonts w:hint="eastAsia" w:ascii="仿宋" w:hAnsi="仿宋" w:eastAsia="仿宋" w:cs="仿宋"/>
          <w:sz w:val="28"/>
          <w:szCs w:val="28"/>
          <w:lang w:eastAsia="zh-CN"/>
        </w:rPr>
        <w:t>投标人</w:t>
      </w:r>
      <w:r>
        <w:rPr>
          <w:rFonts w:hint="eastAsia" w:ascii="仿宋" w:hAnsi="仿宋" w:eastAsia="仿宋" w:cs="仿宋"/>
          <w:sz w:val="28"/>
          <w:szCs w:val="28"/>
          <w:lang w:val="en-GB" w:eastAsia="zh-CN"/>
        </w:rPr>
        <w:t>必须确保采购人拥有其合法的、不受限制的无偿使用权，并免受任何侵权诉讼或索偿，否则，由此产生的一切经济损失和法律责任由</w:t>
      </w:r>
      <w:r>
        <w:rPr>
          <w:rFonts w:hint="eastAsia" w:ascii="仿宋" w:hAnsi="仿宋" w:eastAsia="仿宋" w:cs="仿宋"/>
          <w:sz w:val="28"/>
          <w:szCs w:val="28"/>
          <w:lang w:eastAsia="zh-CN"/>
        </w:rPr>
        <w:t>投标人</w:t>
      </w:r>
      <w:r>
        <w:rPr>
          <w:rFonts w:hint="eastAsia" w:ascii="仿宋" w:hAnsi="仿宋" w:eastAsia="仿宋" w:cs="仿宋"/>
          <w:sz w:val="28"/>
          <w:szCs w:val="28"/>
          <w:lang w:val="en-GB" w:eastAsia="zh-CN"/>
        </w:rPr>
        <w:t>承担。</w:t>
      </w:r>
    </w:p>
    <w:p w14:paraId="1C8C93C7">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.联合体投标</w:t>
      </w:r>
    </w:p>
    <w:p w14:paraId="53885B3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6.1除非本项目明确要求不接受联合体形式投标外，两个或两个以上投标人可以组成一个联合体，以一个投标人的身份共同参加投标。</w:t>
      </w:r>
    </w:p>
    <w:p w14:paraId="6D40405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6D8F6C7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6.3联合体中有同类资质的投标人按照联合体分工承担相同工作的，应当按照资质等级较低的投标人确定资质等级。</w:t>
      </w:r>
    </w:p>
    <w:p w14:paraId="0856C23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6.4联合体投标的，可以由联合体中的牵头人或者共同提交投标承诺函，以牵头人名义提交投标承诺函的，对联合体各方均具有约束力。</w:t>
      </w:r>
    </w:p>
    <w:p w14:paraId="0DE369B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6.5以联合体形式参加政府采购活动的，联合体各方不得再单独参加或者与其他投标人另外组成联合体参加同一合同项下的政府采购活动。</w:t>
      </w:r>
    </w:p>
    <w:p w14:paraId="1BC12791">
      <w:pPr>
        <w:pStyle w:val="4"/>
        <w:pageBreakBefore w:val="0"/>
        <w:wordWrap/>
        <w:topLinePunct w:val="0"/>
        <w:bidi w:val="0"/>
        <w:spacing w:line="360" w:lineRule="auto"/>
        <w:rPr>
          <w:rFonts w:hint="eastAsia" w:ascii="仿宋" w:hAnsi="仿宋" w:eastAsia="仿宋" w:cs="仿宋"/>
          <w:lang w:eastAsia="zh-CN"/>
        </w:rPr>
      </w:pPr>
      <w:r>
        <w:rPr>
          <w:rFonts w:hint="eastAsia" w:ascii="仿宋" w:hAnsi="仿宋" w:eastAsia="仿宋" w:cs="仿宋"/>
          <w:sz w:val="28"/>
          <w:szCs w:val="28"/>
          <w:lang w:eastAsia="zh-CN"/>
        </w:rPr>
        <w:t>6.6</w:t>
      </w:r>
      <w:r>
        <w:rPr>
          <w:rFonts w:hint="eastAsia" w:ascii="仿宋" w:hAnsi="仿宋" w:eastAsia="仿宋" w:cs="仿宋"/>
          <w:sz w:val="28"/>
          <w:szCs w:val="28"/>
          <w:lang w:val="en-US" w:eastAsia="zh-CN"/>
        </w:rPr>
        <w:t>是否允许联合体投标见投标人须知前附表。</w:t>
      </w:r>
    </w:p>
    <w:p w14:paraId="28B1DA7C">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7.保密</w:t>
      </w:r>
    </w:p>
    <w:p w14:paraId="7EEDCEA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参与招标投标活动的各方应对招标文件和投标文件中的商业和技术等秘密保密，违者应对由此造成的后果承担法律责任。</w:t>
      </w:r>
    </w:p>
    <w:p w14:paraId="1365F070">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8.市场主体信息库</w:t>
      </w:r>
    </w:p>
    <w:p w14:paraId="1102133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（1）投标人应及时对入库信息进行补充、更新，若投标人提供虚假信息或未及时对入库信息进行补充、更新，由投标人承担全部责任。</w:t>
      </w:r>
    </w:p>
    <w:p w14:paraId="6CF0115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（2）投标人可将本项目评审涉及到的资质、业绩、人员、获奖、证书、纳税、社保等信息补充到其市场主体信息库中。</w:t>
      </w:r>
    </w:p>
    <w:p w14:paraId="2C9D6DB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zh-TW"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TW" w:eastAsia="zh-CN"/>
        </w:rPr>
        <w:t>）投标人应当按照招标文件的要求编制投标文件，并予以提交。投标人的入库信息不作为评审的依据。</w:t>
      </w:r>
    </w:p>
    <w:p w14:paraId="1E9D3AD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9.采购信息的发布</w:t>
      </w:r>
    </w:p>
    <w:p w14:paraId="6BEDEDB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与本次采购活动相关的信息，将在《河南省政府采购网》《河南省公共资源交易中心网》上及时发布。</w:t>
      </w:r>
    </w:p>
    <w:p w14:paraId="70643621">
      <w:pPr>
        <w:pageBreakBefore w:val="0"/>
        <w:wordWrap/>
        <w:topLinePunct w:val="0"/>
        <w:bidi w:val="0"/>
        <w:spacing w:line="360" w:lineRule="auto"/>
        <w:rPr>
          <w:rFonts w:hint="eastAsia" w:ascii="仿宋" w:hAnsi="仿宋" w:eastAsia="仿宋" w:cs="仿宋"/>
          <w:sz w:val="28"/>
          <w:szCs w:val="28"/>
          <w:lang w:eastAsia="zh-CN"/>
        </w:rPr>
      </w:pPr>
    </w:p>
    <w:p w14:paraId="1C3D3189">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65" w:name="_Toc773843715"/>
      <w:bookmarkStart w:id="166" w:name="_Toc1225442179_WPSOffice_Level2"/>
      <w:bookmarkStart w:id="167" w:name="_Toc2021756318"/>
      <w:bookmarkStart w:id="168" w:name="_Toc923512225_WPSOffice_Level2"/>
      <w:bookmarkStart w:id="169" w:name="_Toc601554517"/>
      <w:bookmarkStart w:id="170" w:name="_Toc1045699149"/>
      <w:bookmarkStart w:id="171" w:name="_Toc28660129"/>
      <w:bookmarkStart w:id="172" w:name="_Toc1135767039"/>
      <w:bookmarkStart w:id="173" w:name="_Toc1613525329"/>
      <w:bookmarkStart w:id="174" w:name="_Toc1035752825"/>
      <w:bookmarkStart w:id="175" w:name="_Toc1090042493_WPSOffice_Level2"/>
      <w:bookmarkStart w:id="176" w:name="_Toc503947722_WPSOffice_Level2"/>
      <w:bookmarkStart w:id="177" w:name="_Toc1329330261"/>
      <w:bookmarkStart w:id="178" w:name="_Toc71799347"/>
      <w:bookmarkStart w:id="179" w:name="_Toc812246970"/>
      <w:r>
        <w:rPr>
          <w:rFonts w:hint="eastAsia" w:ascii="仿宋" w:hAnsi="仿宋" w:eastAsia="仿宋" w:cs="仿宋"/>
          <w:b/>
          <w:bCs w:val="0"/>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9105C9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10.招标文件的组成</w:t>
      </w:r>
    </w:p>
    <w:p w14:paraId="6445D837">
      <w:pPr>
        <w:pageBreakBefore w:val="0"/>
        <w:widowControl w:val="0"/>
        <w:wordWrap/>
        <w:topLinePunct w:val="0"/>
        <w:bidi w:val="0"/>
        <w:spacing w:line="360" w:lineRule="auto"/>
        <w:ind w:left="1050" w:hanging="1050" w:hangingChars="37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10.1   招标文件共九章，构成如下：</w:t>
      </w:r>
    </w:p>
    <w:p w14:paraId="233AA15D">
      <w:pPr>
        <w:pageBreakBefore w:val="0"/>
        <w:widowControl w:val="0"/>
        <w:numPr>
          <w:ilvl w:val="0"/>
          <w:numId w:val="1"/>
        </w:numPr>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0" w:name="_Toc2041508748_WPSOffice_Level3"/>
      <w:r>
        <w:rPr>
          <w:rFonts w:hint="eastAsia" w:ascii="仿宋" w:hAnsi="仿宋" w:eastAsia="仿宋" w:cs="仿宋"/>
          <w:color w:val="auto"/>
          <w:sz w:val="28"/>
          <w:szCs w:val="28"/>
          <w:lang w:val="en-US" w:eastAsia="zh-CN"/>
        </w:rPr>
        <w:t xml:space="preserve"> 投标邀请</w:t>
      </w:r>
      <w:bookmarkEnd w:id="180"/>
    </w:p>
    <w:p w14:paraId="0424EAA6">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1" w:name="_Toc481281934_WPSOffice_Level3"/>
      <w:r>
        <w:rPr>
          <w:rFonts w:hint="eastAsia" w:ascii="仿宋" w:hAnsi="仿宋" w:eastAsia="仿宋" w:cs="仿宋"/>
          <w:color w:val="auto"/>
          <w:sz w:val="28"/>
          <w:szCs w:val="28"/>
          <w:lang w:val="en-US" w:eastAsia="zh-CN"/>
        </w:rPr>
        <w:t>第二章  投标人须知前附表</w:t>
      </w:r>
      <w:bookmarkEnd w:id="181"/>
    </w:p>
    <w:p w14:paraId="4B496F5A">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2" w:name="_Toc1216452732_WPSOffice_Level3"/>
      <w:r>
        <w:rPr>
          <w:rFonts w:hint="eastAsia" w:ascii="仿宋" w:hAnsi="仿宋" w:eastAsia="仿宋" w:cs="仿宋"/>
          <w:color w:val="auto"/>
          <w:sz w:val="28"/>
          <w:szCs w:val="28"/>
          <w:lang w:val="en-US" w:eastAsia="zh-CN"/>
        </w:rPr>
        <w:t>第三章  投标人须知</w:t>
      </w:r>
      <w:bookmarkEnd w:id="182"/>
    </w:p>
    <w:p w14:paraId="686FDC0F">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3" w:name="_Toc1355532098_WPSOffice_Level3"/>
      <w:r>
        <w:rPr>
          <w:rFonts w:hint="eastAsia" w:ascii="仿宋" w:hAnsi="仿宋" w:eastAsia="仿宋" w:cs="仿宋"/>
          <w:color w:val="auto"/>
          <w:sz w:val="28"/>
          <w:szCs w:val="28"/>
          <w:lang w:val="en-US" w:eastAsia="zh-CN"/>
        </w:rPr>
        <w:t>第四章  资格证明文件格式</w:t>
      </w:r>
      <w:bookmarkEnd w:id="183"/>
    </w:p>
    <w:p w14:paraId="640BD65A">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4" w:name="_Toc1831540022_WPSOffice_Level3"/>
      <w:r>
        <w:rPr>
          <w:rFonts w:hint="eastAsia" w:ascii="仿宋" w:hAnsi="仿宋" w:eastAsia="仿宋" w:cs="仿宋"/>
          <w:color w:val="auto"/>
          <w:sz w:val="28"/>
          <w:szCs w:val="28"/>
          <w:lang w:val="en-US" w:eastAsia="zh-CN"/>
        </w:rPr>
        <w:t>第五章  投标文件格式</w:t>
      </w:r>
      <w:bookmarkEnd w:id="184"/>
    </w:p>
    <w:p w14:paraId="0E24A6FE">
      <w:pPr>
        <w:pageBreakBefore w:val="0"/>
        <w:widowControl w:val="0"/>
        <w:wordWrap/>
        <w:topLinePunct w:val="0"/>
        <w:bidi w:val="0"/>
        <w:spacing w:line="360" w:lineRule="auto"/>
        <w:ind w:left="901" w:leftChars="429"/>
        <w:rPr>
          <w:rFonts w:hint="eastAsia" w:ascii="仿宋" w:hAnsi="仿宋" w:eastAsia="仿宋" w:cs="仿宋"/>
          <w:color w:val="auto"/>
          <w:sz w:val="28"/>
          <w:szCs w:val="28"/>
          <w:lang w:eastAsia="zh-CN"/>
        </w:rPr>
      </w:pPr>
      <w:bookmarkStart w:id="185" w:name="_Toc1218962891_WPSOffice_Level3"/>
      <w:r>
        <w:rPr>
          <w:rFonts w:hint="eastAsia" w:ascii="仿宋" w:hAnsi="仿宋" w:eastAsia="仿宋" w:cs="仿宋"/>
          <w:color w:val="auto"/>
          <w:sz w:val="28"/>
          <w:szCs w:val="28"/>
          <w:lang w:val="en-US" w:eastAsia="zh-CN"/>
        </w:rPr>
        <w:t xml:space="preserve">第六章  </w:t>
      </w:r>
      <w:r>
        <w:rPr>
          <w:rFonts w:hint="eastAsia" w:ascii="仿宋" w:hAnsi="仿宋" w:eastAsia="仿宋" w:cs="仿宋"/>
          <w:color w:val="auto"/>
          <w:sz w:val="28"/>
          <w:szCs w:val="28"/>
          <w:lang w:eastAsia="zh-CN"/>
        </w:rPr>
        <w:t>项目需求及有关要求</w:t>
      </w:r>
      <w:bookmarkEnd w:id="185"/>
    </w:p>
    <w:p w14:paraId="1E0B3B1A">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6" w:name="_Toc1886187112_WPSOffice_Level3"/>
      <w:r>
        <w:rPr>
          <w:rFonts w:hint="eastAsia" w:ascii="仿宋" w:hAnsi="仿宋" w:eastAsia="仿宋" w:cs="仿宋"/>
          <w:color w:val="auto"/>
          <w:sz w:val="28"/>
          <w:szCs w:val="28"/>
          <w:lang w:val="en-US" w:eastAsia="zh-CN"/>
        </w:rPr>
        <w:t>第七章  评标方法和标准</w:t>
      </w:r>
      <w:bookmarkEnd w:id="186"/>
    </w:p>
    <w:p w14:paraId="3CBF18B0">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7" w:name="_Toc1510798510_WPSOffice_Level3"/>
      <w:r>
        <w:rPr>
          <w:rFonts w:hint="eastAsia" w:ascii="仿宋" w:hAnsi="仿宋" w:eastAsia="仿宋" w:cs="仿宋"/>
          <w:color w:val="auto"/>
          <w:sz w:val="28"/>
          <w:szCs w:val="28"/>
          <w:lang w:val="en-US" w:eastAsia="zh-CN"/>
        </w:rPr>
        <w:t>第八章  政府采购合同</w:t>
      </w:r>
      <w:bookmarkEnd w:id="187"/>
    </w:p>
    <w:p w14:paraId="6EA465AD">
      <w:pPr>
        <w:pageBreakBefore w:val="0"/>
        <w:widowControl w:val="0"/>
        <w:wordWrap/>
        <w:topLinePunct w:val="0"/>
        <w:bidi w:val="0"/>
        <w:spacing w:line="360" w:lineRule="auto"/>
        <w:ind w:left="901" w:leftChars="429"/>
        <w:rPr>
          <w:rFonts w:hint="eastAsia" w:ascii="仿宋" w:hAnsi="仿宋" w:eastAsia="仿宋" w:cs="仿宋"/>
          <w:color w:val="auto"/>
          <w:sz w:val="28"/>
          <w:szCs w:val="28"/>
          <w:lang w:val="en-US" w:eastAsia="zh-CN"/>
        </w:rPr>
      </w:pPr>
      <w:bookmarkStart w:id="188" w:name="_Toc1853082451_WPSOffice_Level3"/>
      <w:r>
        <w:rPr>
          <w:rFonts w:hint="eastAsia" w:ascii="仿宋" w:hAnsi="仿宋" w:eastAsia="仿宋" w:cs="仿宋"/>
          <w:color w:val="auto"/>
          <w:sz w:val="28"/>
          <w:szCs w:val="28"/>
          <w:lang w:val="en-US" w:eastAsia="zh-CN"/>
        </w:rPr>
        <w:t>第九章  附件</w:t>
      </w:r>
      <w:bookmarkEnd w:id="188"/>
    </w:p>
    <w:p w14:paraId="690AE1CD">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10.2</w:t>
      </w:r>
      <w:r>
        <w:rPr>
          <w:rFonts w:hint="eastAsia" w:ascii="仿宋" w:hAnsi="仿宋" w:eastAsia="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64CB8408">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03E25C38">
      <w:pPr>
        <w:pageBreakBefore w:val="0"/>
        <w:numPr>
          <w:ilvl w:val="0"/>
          <w:numId w:val="2"/>
        </w:numPr>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rPr>
        <w:t>招标文件的澄清</w:t>
      </w:r>
      <w:r>
        <w:rPr>
          <w:rFonts w:hint="eastAsia" w:ascii="仿宋" w:hAnsi="仿宋" w:eastAsia="仿宋" w:cs="仿宋"/>
          <w:b/>
          <w:bCs/>
          <w:sz w:val="28"/>
          <w:szCs w:val="28"/>
          <w:lang w:val="en-US" w:eastAsia="zh-CN"/>
        </w:rPr>
        <w:t>与修改</w:t>
      </w:r>
    </w:p>
    <w:p w14:paraId="109AD700">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11.1投标人应仔细阅读和检查招标文件的全部内容。如有疑问，应及时向采购人或</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提出。</w:t>
      </w:r>
    </w:p>
    <w:p w14:paraId="6568BC4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11.2采购人或</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3240DD2A">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11.3招标文件的澄清（更正）或修改在交易平台上公布给所有下载过招标文件的投标人，但不指明澄清问题的来源。</w:t>
      </w:r>
    </w:p>
    <w:p w14:paraId="517CA622">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11.4对已发出的招标文件进行的澄清、更正或修改，澄清、更正或修改的内容将作为招标文件的组成部分。通过“</w:t>
      </w:r>
      <w:r>
        <w:rPr>
          <w:rFonts w:hint="eastAsia" w:ascii="仿宋" w:hAnsi="仿宋" w:eastAsia="仿宋" w:cs="仿宋"/>
        </w:rPr>
        <w:fldChar w:fldCharType="begin"/>
      </w:r>
      <w:r>
        <w:rPr>
          <w:rFonts w:hint="eastAsia" w:ascii="仿宋" w:hAnsi="仿宋" w:eastAsia="仿宋" w:cs="仿宋"/>
        </w:rPr>
        <w:instrText xml:space="preserve"> HYPERLINK "http://www.ccgp-henan.gov.cn)和河南省政府采购网河南省公共资源交易网" </w:instrText>
      </w:r>
      <w:r>
        <w:rPr>
          <w:rFonts w:hint="eastAsia" w:ascii="仿宋" w:hAnsi="仿宋" w:eastAsia="仿宋" w:cs="仿宋"/>
        </w:rPr>
        <w:fldChar w:fldCharType="separate"/>
      </w:r>
      <w:r>
        <w:rPr>
          <w:rFonts w:hint="eastAsia" w:ascii="仿宋" w:hAnsi="仿宋" w:eastAsia="仿宋" w:cs="仿宋"/>
          <w:sz w:val="28"/>
          <w:szCs w:val="28"/>
          <w:lang w:val="en-US" w:eastAsia="zh-CN"/>
        </w:rPr>
        <w:t>河南省政府采购网”（https://zfcg.henan.gov.cn/henan）“河南省公共资源交易网</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”（http://hnsggzyjy.henan.gov.cn/）网站“变更（澄清或更正）公告”和系统内部“答疑文件”告知投标人，各投标人重新下载最新的答疑、变更（澄清或更正）文件，以此编制投标文件。</w:t>
      </w:r>
    </w:p>
    <w:p w14:paraId="1F3AA27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11.5</w:t>
      </w:r>
      <w:bookmarkStart w:id="189" w:name="_Hlk86850585"/>
      <w:r>
        <w:rPr>
          <w:rFonts w:hint="eastAsia" w:ascii="仿宋" w:hAnsi="仿宋" w:eastAsia="仿宋" w:cs="仿宋"/>
          <w:sz w:val="28"/>
          <w:szCs w:val="28"/>
          <w:lang w:val="en-US" w:eastAsia="zh-CN"/>
        </w:rPr>
        <w:t>《河南省公共资源交易中心》</w:t>
      </w:r>
      <w:bookmarkEnd w:id="189"/>
      <w:r>
        <w:rPr>
          <w:rFonts w:hint="eastAsia" w:ascii="仿宋" w:hAnsi="仿宋" w:eastAsia="仿宋" w:cs="仿宋"/>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eastAsia" w:ascii="仿宋" w:hAnsi="仿宋" w:eastAsia="仿宋" w:cs="仿宋"/>
          <w:sz w:val="28"/>
          <w:szCs w:val="28"/>
          <w:lang w:val="en-US" w:eastAsia="zh-CN"/>
        </w:rPr>
        <w:t>。</w:t>
      </w:r>
    </w:p>
    <w:bookmarkEnd w:id="190"/>
    <w:p w14:paraId="3CAEB38F">
      <w:pPr>
        <w:pageBreakBefore w:val="0"/>
        <w:wordWrap/>
        <w:topLinePunct w:val="0"/>
        <w:bidi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12.</w:t>
      </w:r>
      <w:r>
        <w:rPr>
          <w:rFonts w:hint="eastAsia" w:ascii="仿宋" w:hAnsi="仿宋" w:eastAsia="仿宋" w:cs="仿宋"/>
          <w:b/>
          <w:bCs/>
          <w:sz w:val="28"/>
          <w:szCs w:val="28"/>
          <w:lang w:val="en-US" w:eastAsia="zh-CN"/>
        </w:rPr>
        <w:t>投标截止时间的顺延</w:t>
      </w:r>
    </w:p>
    <w:p w14:paraId="2925608C">
      <w:pPr>
        <w:pageBreakBefore w:val="0"/>
        <w:wordWrap/>
        <w:topLinePunct w:val="0"/>
        <w:bidi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为使投标人有足够的时间对招标文件的澄清或者修改部分进行研究而准备投标或因其他原因，采购人将依法决定是否顺延投标截止时间。</w:t>
      </w:r>
    </w:p>
    <w:p w14:paraId="0E21B38D">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191" w:name="_Toc1078664286_WPSOffice_Level2"/>
      <w:bookmarkStart w:id="192" w:name="_Toc395976497"/>
      <w:bookmarkStart w:id="193" w:name="_Toc1106273699"/>
      <w:bookmarkStart w:id="194" w:name="_Toc1758648705"/>
      <w:bookmarkStart w:id="195" w:name="_Toc1289807408"/>
      <w:bookmarkStart w:id="196" w:name="_Toc1060332415"/>
      <w:bookmarkStart w:id="197" w:name="_Toc1878515555"/>
      <w:bookmarkStart w:id="198" w:name="_Toc1317763722"/>
      <w:bookmarkStart w:id="199" w:name="_Toc1133061307_WPSOffice_Level2"/>
      <w:bookmarkStart w:id="200" w:name="_Toc933740821_WPSOffice_Level2"/>
      <w:bookmarkStart w:id="201" w:name="_Toc113296060"/>
      <w:bookmarkStart w:id="202" w:name="_Toc868408535"/>
      <w:bookmarkStart w:id="203" w:name="_Toc587380469_WPSOffice_Level2"/>
      <w:bookmarkStart w:id="204" w:name="_Toc1809617340"/>
      <w:bookmarkStart w:id="205" w:name="_Toc760401867"/>
      <w:r>
        <w:rPr>
          <w:rFonts w:hint="eastAsia" w:ascii="仿宋" w:hAnsi="仿宋" w:eastAsia="仿宋" w:cs="仿宋"/>
          <w:b/>
          <w:bCs w:val="0"/>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15D8C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13.投标语言</w:t>
      </w:r>
    </w:p>
    <w:p w14:paraId="289DA41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投标文件以及投标人所有与采购人及集中采购机构就投标来往的函电均使用中文。投标人提供的外文资料应附有相应的中文译本，并以中文译本为准。</w:t>
      </w:r>
    </w:p>
    <w:p w14:paraId="4A91147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14.</w:t>
      </w:r>
      <w:r>
        <w:rPr>
          <w:rFonts w:hint="eastAsia" w:ascii="仿宋" w:hAnsi="仿宋" w:eastAsia="仿宋" w:cs="仿宋"/>
          <w:b/>
          <w:bCs/>
          <w:sz w:val="28"/>
          <w:szCs w:val="28"/>
          <w:lang w:eastAsia="zh-CN"/>
        </w:rPr>
        <w:t>投标文件计量单位</w:t>
      </w:r>
    </w:p>
    <w:p w14:paraId="061BA67F">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除招标文件中有特殊要求外，投标文件中所使用的计量单位，应采用中华人民共和国法定计量单位。</w:t>
      </w:r>
    </w:p>
    <w:p w14:paraId="07F157F5">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投标文件的组成</w:t>
      </w:r>
    </w:p>
    <w:p w14:paraId="7A633BA2">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3326BB16">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16.</w:t>
      </w:r>
      <w:r>
        <w:rPr>
          <w:rFonts w:hint="eastAsia" w:ascii="仿宋" w:hAnsi="仿宋" w:eastAsia="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eastAsia" w:ascii="仿宋" w:hAnsi="仿宋" w:eastAsia="仿宋" w:cs="仿宋"/>
          <w:sz w:val="28"/>
          <w:szCs w:val="28"/>
          <w:lang w:val="en-US" w:eastAsia="zh-CN"/>
        </w:rPr>
        <w:t>投标人可对招标文件中一个或几个分包进行投标，除投标人须知前附表中另有规定。</w:t>
      </w:r>
    </w:p>
    <w:p w14:paraId="45A2A63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17.投标文件编制</w:t>
      </w:r>
    </w:p>
    <w:p w14:paraId="1A731B7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17.1投标文件应按招标文件要求的内容编制投标文件，应当对招标文件提出的实质性要求和条件做出响应。</w:t>
      </w:r>
    </w:p>
    <w:p w14:paraId="5C247CF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17.2投标人在编制投标文件时，涉及到投标人须知前附表中要求的资格审查证明文件，须上传到“资格审查材料”中。</w:t>
      </w:r>
    </w:p>
    <w:p w14:paraId="007B68A1">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18.</w:t>
      </w:r>
      <w:r>
        <w:rPr>
          <w:rFonts w:hint="eastAsia" w:ascii="仿宋" w:hAnsi="仿宋" w:eastAsia="仿宋" w:cs="仿宋"/>
          <w:b/>
          <w:bCs/>
          <w:sz w:val="28"/>
          <w:szCs w:val="28"/>
          <w:lang w:eastAsia="zh-CN"/>
        </w:rPr>
        <w:t>投标报价</w:t>
      </w:r>
    </w:p>
    <w:p w14:paraId="377F17CF">
      <w:pPr>
        <w:pStyle w:val="2"/>
        <w:pageBreakBefore w:val="0"/>
        <w:wordWrap/>
        <w:topLinePunct w:val="0"/>
        <w:bidi w:val="0"/>
        <w:spacing w:line="360" w:lineRule="auto"/>
        <w:rPr>
          <w:rFonts w:hint="eastAsia" w:ascii="仿宋" w:hAnsi="仿宋" w:eastAsia="仿宋" w:cs="仿宋"/>
          <w:kern w:val="2"/>
          <w:sz w:val="28"/>
          <w:szCs w:val="28"/>
          <w:lang w:val="zh-TW"/>
        </w:rPr>
      </w:pPr>
      <w:r>
        <w:rPr>
          <w:rFonts w:hint="eastAsia" w:ascii="仿宋" w:hAnsi="仿宋" w:eastAsia="仿宋" w:cs="仿宋"/>
          <w:kern w:val="2"/>
          <w:sz w:val="28"/>
          <w:szCs w:val="28"/>
          <w:lang w:val="zh-TW"/>
        </w:rPr>
        <w:t>投标人报价超过招标文件规定的预算金额或者分项、分包最高限价的，其投标将被认定为投标无效。</w:t>
      </w:r>
    </w:p>
    <w:p w14:paraId="33EBBAF5">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19.</w:t>
      </w:r>
      <w:r>
        <w:rPr>
          <w:rFonts w:hint="eastAsia" w:ascii="仿宋" w:hAnsi="仿宋" w:eastAsia="仿宋" w:cs="仿宋"/>
          <w:b/>
          <w:bCs/>
          <w:sz w:val="28"/>
          <w:szCs w:val="28"/>
          <w:lang w:eastAsia="zh-CN"/>
        </w:rPr>
        <w:t>投标货币</w:t>
      </w:r>
    </w:p>
    <w:p w14:paraId="650C8BA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除非“投标人须知前附表”另有规定，投标人提供的所有服务用人民币报价。</w:t>
      </w:r>
    </w:p>
    <w:p w14:paraId="0DE2B80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20.</w:t>
      </w:r>
      <w:r>
        <w:rPr>
          <w:rFonts w:hint="eastAsia" w:ascii="仿宋" w:hAnsi="仿宋" w:eastAsia="仿宋" w:cs="仿宋"/>
          <w:b/>
          <w:bCs/>
          <w:sz w:val="28"/>
          <w:szCs w:val="28"/>
          <w:lang w:eastAsia="zh-CN"/>
        </w:rPr>
        <w:t>投标人资格证明文件</w:t>
      </w:r>
    </w:p>
    <w:p w14:paraId="5B4C2A4F">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依据“投标人须知前附表”中的要求按“第四章”的规定提交相应的资格证明文件，作为投标文件的一部分，以证明其有资格进行投标和有能力履行合同。</w:t>
      </w:r>
    </w:p>
    <w:p w14:paraId="4BFF521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21</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投标人</w:t>
      </w:r>
      <w:r>
        <w:rPr>
          <w:rFonts w:hint="eastAsia" w:ascii="仿宋" w:hAnsi="仿宋" w:eastAsia="仿宋" w:cs="仿宋"/>
          <w:b/>
          <w:bCs/>
          <w:sz w:val="28"/>
          <w:szCs w:val="28"/>
          <w:lang w:val="en-US" w:eastAsia="zh-CN"/>
        </w:rPr>
        <w:t>商务、</w:t>
      </w:r>
      <w:r>
        <w:rPr>
          <w:rFonts w:hint="eastAsia" w:ascii="仿宋" w:hAnsi="仿宋" w:eastAsia="仿宋" w:cs="仿宋"/>
          <w:b/>
          <w:bCs/>
          <w:sz w:val="28"/>
          <w:szCs w:val="28"/>
          <w:lang w:eastAsia="zh-CN"/>
        </w:rPr>
        <w:t>技术证明文件</w:t>
      </w:r>
    </w:p>
    <w:p w14:paraId="1FE691E8">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21.1</w:t>
      </w:r>
      <w:r>
        <w:rPr>
          <w:rFonts w:hint="eastAsia" w:ascii="仿宋" w:hAnsi="仿宋" w:eastAsia="仿宋" w:cs="仿宋"/>
          <w:sz w:val="28"/>
          <w:szCs w:val="28"/>
          <w:lang w:val="en-US" w:eastAsia="zh-CN"/>
        </w:rPr>
        <w:t>投标人应按招标文件要求提交证明文件，证明其投标标的符合招标文件规定。</w:t>
      </w:r>
    </w:p>
    <w:p w14:paraId="40D0FC29">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21.2上款所述的证明文件，可以是文字资料、图纸和数据。</w:t>
      </w:r>
    </w:p>
    <w:p w14:paraId="779385B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22</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eastAsia="zh-CN"/>
        </w:rPr>
        <w:t>投标函</w:t>
      </w:r>
    </w:p>
    <w:p w14:paraId="2AA60F7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22.1投标人应按招标文件规定的格式和内容提交投标函。</w:t>
      </w:r>
    </w:p>
    <w:p w14:paraId="132D5B8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22.2下列任何情况发生时，按国家有关法律法规进行处理并按投标函的约定向采购人支付违约赔偿金：</w:t>
      </w:r>
    </w:p>
    <w:p w14:paraId="6A52BC0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）投标人在招标文件规定的投标有效期内实质上修改或撤回其投标；</w:t>
      </w:r>
    </w:p>
    <w:p w14:paraId="77BCFED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）在投标文件中有意提供虚假材料；</w:t>
      </w:r>
    </w:p>
    <w:p w14:paraId="325359B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）中标人拒绝在中标通知书规定的时间内签订合同。</w:t>
      </w:r>
    </w:p>
    <w:p w14:paraId="1E9CADB3">
      <w:pPr>
        <w:keepNext/>
        <w:keepLines/>
        <w:pageBreakBefore w:val="0"/>
        <w:widowControl w:val="0"/>
        <w:wordWrap/>
        <w:topLinePunct w:val="0"/>
        <w:autoSpaceDE w:val="0"/>
        <w:autoSpaceDN w:val="0"/>
        <w:bidi w:val="0"/>
        <w:adjustRightInd w:val="0"/>
        <w:spacing w:line="360" w:lineRule="auto"/>
        <w:jc w:val="left"/>
        <w:rPr>
          <w:rFonts w:hint="eastAsia" w:ascii="仿宋" w:hAnsi="仿宋" w:eastAsia="仿宋" w:cs="仿宋"/>
          <w:b/>
          <w:color w:val="auto"/>
          <w:kern w:val="0"/>
          <w:sz w:val="28"/>
          <w:szCs w:val="28"/>
          <w:lang w:val="en-US" w:eastAsia="zh-CN"/>
        </w:rPr>
      </w:pPr>
      <w:r>
        <w:rPr>
          <w:rFonts w:hint="eastAsia" w:ascii="仿宋" w:hAnsi="仿宋" w:eastAsia="仿宋" w:cs="仿宋"/>
          <w:b/>
          <w:bCs/>
          <w:sz w:val="28"/>
          <w:szCs w:val="28"/>
          <w:lang w:eastAsia="zh-CN"/>
        </w:rPr>
        <w:t>23</w:t>
      </w:r>
      <w:r>
        <w:rPr>
          <w:rFonts w:hint="eastAsia" w:ascii="仿宋" w:hAnsi="仿宋" w:eastAsia="仿宋" w:cs="仿宋"/>
          <w:b/>
          <w:bCs/>
          <w:sz w:val="28"/>
          <w:szCs w:val="28"/>
          <w:lang w:val="en-US" w:eastAsia="zh-CN"/>
        </w:rPr>
        <w:t>.</w:t>
      </w:r>
      <w:r>
        <w:rPr>
          <w:rFonts w:hint="eastAsia" w:ascii="仿宋" w:hAnsi="仿宋" w:eastAsia="仿宋" w:cs="仿宋"/>
          <w:b/>
          <w:color w:val="auto"/>
          <w:kern w:val="0"/>
          <w:sz w:val="28"/>
          <w:szCs w:val="28"/>
          <w:lang w:val="en-US" w:eastAsia="zh-CN"/>
        </w:rPr>
        <w:t>投标保证金</w:t>
      </w:r>
    </w:p>
    <w:p w14:paraId="0D21B8C3">
      <w:pPr>
        <w:pageBreakBefore w:val="0"/>
        <w:wordWrap/>
        <w:topLinePunct w:val="0"/>
        <w:bidi w:val="0"/>
        <w:spacing w:line="360" w:lineRule="auto"/>
        <w:rPr>
          <w:rFonts w:hint="eastAsia" w:ascii="仿宋" w:hAnsi="仿宋" w:eastAsia="仿宋" w:cs="仿宋"/>
          <w:b/>
          <w:bCs/>
          <w:sz w:val="28"/>
          <w:szCs w:val="28"/>
          <w:lang w:val="en-US" w:eastAsia="zh-CN"/>
        </w:rPr>
      </w:pPr>
      <w:bookmarkStart w:id="206" w:name="_Toc975469575_WPSOffice_Level3"/>
      <w:r>
        <w:rPr>
          <w:rFonts w:hint="eastAsia" w:ascii="仿宋" w:hAnsi="仿宋" w:eastAsia="仿宋" w:cs="仿宋"/>
          <w:bCs/>
          <w:color w:val="auto"/>
          <w:sz w:val="28"/>
          <w:szCs w:val="28"/>
          <w:lang w:val="en-US" w:eastAsia="zh-CN"/>
        </w:rPr>
        <w:t>本项目投标人无需提交投标保证金。</w:t>
      </w:r>
      <w:bookmarkEnd w:id="206"/>
    </w:p>
    <w:p w14:paraId="13EA584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24.</w:t>
      </w:r>
      <w:r>
        <w:rPr>
          <w:rFonts w:hint="eastAsia" w:ascii="仿宋" w:hAnsi="仿宋" w:eastAsia="仿宋" w:cs="仿宋"/>
          <w:b/>
          <w:bCs/>
          <w:sz w:val="28"/>
          <w:szCs w:val="28"/>
          <w:lang w:eastAsia="zh-CN"/>
        </w:rPr>
        <w:t>投标有效期</w:t>
      </w:r>
    </w:p>
    <w:p w14:paraId="45E3507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.1投标文件应自招标文件规定的投标截止日起，在“投标人须知前附表”规定的时间内保持有效。投标有效期不足的将被视为非响应性投标而予以拒绝。</w:t>
      </w:r>
    </w:p>
    <w:p w14:paraId="798B2A2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.2在特殊情况下，采购人可征求投标人同意延长投标文件的有效期。这种要求与答复均应以书面形式提交。投标人可以拒绝这种要求，原有效期到期后</w:t>
      </w:r>
      <w:r>
        <w:rPr>
          <w:rFonts w:hint="eastAsia" w:ascii="仿宋" w:hAnsi="仿宋" w:eastAsia="仿宋" w:cs="仿宋"/>
          <w:sz w:val="28"/>
          <w:szCs w:val="28"/>
          <w:lang w:val="zh-CN" w:eastAsia="zh-CN"/>
        </w:rPr>
        <w:t>其投标文件失效</w:t>
      </w:r>
      <w:r>
        <w:rPr>
          <w:rFonts w:hint="eastAsia" w:ascii="仿宋" w:hAnsi="仿宋" w:eastAsia="仿宋" w:cs="仿宋"/>
          <w:sz w:val="28"/>
          <w:szCs w:val="28"/>
          <w:lang w:eastAsia="zh-CN"/>
        </w:rPr>
        <w:t>。同意延期的投标人将不会被要求也不允许修改其投标文件，</w:t>
      </w:r>
      <w:r>
        <w:rPr>
          <w:rFonts w:hint="eastAsia" w:ascii="仿宋" w:hAnsi="仿宋" w:eastAsia="仿宋" w:cs="仿宋"/>
          <w:sz w:val="28"/>
          <w:szCs w:val="28"/>
          <w:lang w:val="zh-CN" w:eastAsia="zh-CN"/>
        </w:rPr>
        <w:t>其投标文件</w:t>
      </w:r>
      <w:r>
        <w:rPr>
          <w:rFonts w:hint="eastAsia" w:ascii="仿宋" w:hAnsi="仿宋" w:eastAsia="仿宋" w:cs="仿宋"/>
          <w:sz w:val="28"/>
          <w:szCs w:val="28"/>
          <w:lang w:eastAsia="zh-CN"/>
        </w:rPr>
        <w:t>相应延长到新的有效期。</w:t>
      </w:r>
    </w:p>
    <w:p w14:paraId="6CB6D0CE">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25.</w:t>
      </w:r>
      <w:r>
        <w:rPr>
          <w:rFonts w:hint="eastAsia" w:ascii="仿宋" w:hAnsi="仿宋" w:eastAsia="仿宋" w:cs="仿宋"/>
          <w:b/>
          <w:bCs/>
          <w:sz w:val="28"/>
          <w:szCs w:val="28"/>
          <w:lang w:eastAsia="zh-CN"/>
        </w:rPr>
        <w:t>投标文件形式和签署</w:t>
      </w:r>
    </w:p>
    <w:p w14:paraId="2AF33EB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.1投标人须在投标截止时间前制作并提交加密的电子投标文件。</w:t>
      </w:r>
    </w:p>
    <w:p w14:paraId="7BD12D25">
      <w:pPr>
        <w:pageBreakBefore w:val="0"/>
        <w:wordWrap/>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rPr>
        <w:t>5</w:t>
      </w:r>
      <w:r>
        <w:rPr>
          <w:rFonts w:hint="eastAsia" w:ascii="仿宋" w:hAnsi="仿宋" w:eastAsia="仿宋" w:cs="仿宋"/>
          <w:sz w:val="28"/>
          <w:szCs w:val="28"/>
        </w:rPr>
        <w:t>.</w:t>
      </w:r>
      <w:r>
        <w:rPr>
          <w:rFonts w:hint="eastAsia" w:ascii="仿宋" w:hAnsi="仿宋" w:eastAsia="仿宋" w:cs="仿宋"/>
          <w:sz w:val="28"/>
          <w:szCs w:val="28"/>
          <w:lang w:val="en-US"/>
        </w:rPr>
        <w:t>2</w:t>
      </w:r>
      <w:r>
        <w:rPr>
          <w:rFonts w:hint="eastAsia" w:ascii="仿宋" w:hAnsi="仿宋" w:eastAsia="仿宋" w:cs="仿宋"/>
          <w:sz w:val="28"/>
          <w:szCs w:val="28"/>
        </w:rPr>
        <w:t>投标人可登录“河南省公共资源交易中心（</w:t>
      </w:r>
      <w:r>
        <w:rPr>
          <w:rFonts w:hint="eastAsia" w:ascii="仿宋" w:hAnsi="仿宋" w:eastAsia="仿宋" w:cs="仿宋"/>
          <w:sz w:val="28"/>
          <w:szCs w:val="28"/>
          <w:lang w:eastAsia="zh-CN"/>
        </w:rPr>
        <w:t>hnsggzyjy.henan.gov.cn</w:t>
      </w:r>
      <w:r>
        <w:rPr>
          <w:rFonts w:hint="eastAsia" w:ascii="仿宋" w:hAnsi="仿宋" w:eastAsia="仿宋" w:cs="仿宋"/>
          <w:sz w:val="28"/>
          <w:szCs w:val="28"/>
        </w:rPr>
        <w:t>）”网站查看公共服务—办事指南—</w:t>
      </w:r>
      <w:r>
        <w:rPr>
          <w:rFonts w:hint="eastAsia" w:ascii="仿宋" w:hAnsi="仿宋" w:eastAsia="仿宋" w:cs="仿宋"/>
          <w:sz w:val="28"/>
          <w:szCs w:val="28"/>
          <w:lang w:val="en-US"/>
        </w:rPr>
        <w:t>新交易平台使用手册（培训资料）</w:t>
      </w:r>
      <w:r>
        <w:rPr>
          <w:rFonts w:hint="eastAsia" w:ascii="仿宋" w:hAnsi="仿宋" w:eastAsia="仿宋" w:cs="仿宋"/>
          <w:sz w:val="28"/>
          <w:szCs w:val="28"/>
        </w:rPr>
        <w:t>。</w:t>
      </w:r>
    </w:p>
    <w:p w14:paraId="386126A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eastAsia="zh-CN"/>
        </w:rPr>
        <w:t>投标人在制作电子投标文件时，按格式内容要求进行电子签章（包括企业电子签章、个人电子签章）</w:t>
      </w:r>
      <w:r>
        <w:rPr>
          <w:rFonts w:hint="eastAsia" w:ascii="仿宋" w:hAnsi="仿宋" w:eastAsia="仿宋" w:cs="仿宋"/>
          <w:sz w:val="28"/>
          <w:szCs w:val="28"/>
          <w:lang w:eastAsia="zh-CN"/>
        </w:rPr>
        <w:t>。</w:t>
      </w:r>
    </w:p>
    <w:p w14:paraId="03968FD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投标人在制作电子投标文件时，开标一览表按照格式编辑，并作为电子开标系统上传的依据。</w:t>
      </w:r>
    </w:p>
    <w:p w14:paraId="03235BD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投标文件以外的任何资料采购人和集中采购机构将拒收。</w:t>
      </w:r>
    </w:p>
    <w:p w14:paraId="6B7DE1A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其他形式的投标文件一律不接受。</w:t>
      </w:r>
    </w:p>
    <w:p w14:paraId="3E6579BC">
      <w:pPr>
        <w:pageBreakBefore w:val="0"/>
        <w:wordWrap/>
        <w:topLinePunct w:val="0"/>
        <w:bidi w:val="0"/>
        <w:spacing w:line="360" w:lineRule="auto"/>
        <w:rPr>
          <w:rFonts w:hint="eastAsia" w:ascii="仿宋" w:hAnsi="仿宋" w:eastAsia="仿宋" w:cs="仿宋"/>
          <w:sz w:val="28"/>
          <w:szCs w:val="28"/>
          <w:lang w:eastAsia="zh-CN"/>
        </w:rPr>
      </w:pPr>
    </w:p>
    <w:p w14:paraId="1A8810A3">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07" w:name="_Toc689398289_WPSOffice_Level2"/>
      <w:bookmarkStart w:id="208" w:name="_Toc99139981"/>
      <w:bookmarkStart w:id="209" w:name="_Toc123955915"/>
      <w:bookmarkStart w:id="210" w:name="_Toc99171812"/>
      <w:bookmarkStart w:id="211" w:name="_Toc340063481"/>
      <w:bookmarkStart w:id="212" w:name="_Toc1658848054"/>
      <w:bookmarkStart w:id="213" w:name="_Toc814900001_WPSOffice_Level2"/>
      <w:bookmarkStart w:id="214" w:name="_Toc1940674049"/>
      <w:bookmarkStart w:id="215" w:name="_Toc1602167768_WPSOffice_Level2"/>
      <w:bookmarkStart w:id="216" w:name="_Toc269831806"/>
      <w:bookmarkStart w:id="217" w:name="_Toc1958475392"/>
      <w:bookmarkStart w:id="218" w:name="_Toc1517317572"/>
      <w:bookmarkStart w:id="219" w:name="_Toc1446727086"/>
      <w:bookmarkStart w:id="220" w:name="_Toc1354261087_WPSOffice_Level2"/>
      <w:bookmarkStart w:id="221" w:name="_Toc880470383"/>
      <w:r>
        <w:rPr>
          <w:rFonts w:hint="eastAsia" w:ascii="仿宋" w:hAnsi="仿宋" w:eastAsia="仿宋" w:cs="仿宋"/>
          <w:b/>
          <w:bCs w:val="0"/>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F628BEA">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.投标文件的上传</w:t>
      </w:r>
    </w:p>
    <w:p w14:paraId="41320F6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.1加密电子投标文件的上传：见“投标人须知前附表”。</w:t>
      </w:r>
    </w:p>
    <w:p w14:paraId="25167EA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17C0BA21">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27.</w:t>
      </w:r>
      <w:r>
        <w:rPr>
          <w:rFonts w:hint="eastAsia" w:ascii="仿宋" w:hAnsi="仿宋" w:eastAsia="仿宋" w:cs="仿宋"/>
          <w:b/>
          <w:bCs/>
          <w:sz w:val="28"/>
          <w:szCs w:val="28"/>
          <w:lang w:eastAsia="zh-CN"/>
        </w:rPr>
        <w:t>投标截止时间</w:t>
      </w:r>
    </w:p>
    <w:p w14:paraId="424210E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.1投标人应在“投标人须知前附表”规定的投标截止时间前上传投标文件。</w:t>
      </w:r>
    </w:p>
    <w:p w14:paraId="69E2190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.2采购人和集中采购机构可以按本章第12条规定，通过修改招标文件自行决定酌情延长投标截止期限。</w:t>
      </w:r>
    </w:p>
    <w:p w14:paraId="7FDB2B97">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28.</w:t>
      </w:r>
      <w:r>
        <w:rPr>
          <w:rFonts w:hint="eastAsia" w:ascii="仿宋" w:hAnsi="仿宋" w:eastAsia="仿宋" w:cs="仿宋"/>
          <w:b/>
          <w:bCs/>
          <w:sz w:val="28"/>
          <w:szCs w:val="28"/>
          <w:lang w:eastAsia="zh-CN"/>
        </w:rPr>
        <w:t>迟交的投标文件</w:t>
      </w:r>
    </w:p>
    <w:p w14:paraId="7C8AAE6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投标人在投标截止时间后上传的投标文件，将被拒绝。</w:t>
      </w:r>
    </w:p>
    <w:p w14:paraId="59730E8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lang w:eastAsia="zh-CN"/>
        </w:rPr>
        <w:t>投标文件的修改和撤回</w:t>
      </w:r>
    </w:p>
    <w:p w14:paraId="3C64182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.1在投标截止时间前，投标人可以修改或撤回已上传的投标文件。</w:t>
      </w:r>
    </w:p>
    <w:p w14:paraId="00AE65D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.2在投标截止时间后，投标人不得修改或撤回其投标文件。</w:t>
      </w:r>
    </w:p>
    <w:p w14:paraId="30135BA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.3在招标文件规定的投标有效期内，投标人不得实质上修改或撤回其投标。</w:t>
      </w:r>
    </w:p>
    <w:p w14:paraId="4ECE5D36">
      <w:pPr>
        <w:pageBreakBefore w:val="0"/>
        <w:wordWrap/>
        <w:topLinePunct w:val="0"/>
        <w:bidi w:val="0"/>
        <w:spacing w:line="360" w:lineRule="auto"/>
        <w:rPr>
          <w:rFonts w:hint="eastAsia" w:ascii="仿宋" w:hAnsi="仿宋" w:eastAsia="仿宋" w:cs="仿宋"/>
          <w:sz w:val="28"/>
          <w:szCs w:val="28"/>
          <w:lang w:eastAsia="zh-CN"/>
        </w:rPr>
      </w:pPr>
    </w:p>
    <w:p w14:paraId="1000AC3C">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22" w:name="_Toc1109071882"/>
      <w:bookmarkStart w:id="223" w:name="_Toc58778488"/>
      <w:bookmarkStart w:id="224" w:name="_Toc1124298034"/>
      <w:bookmarkStart w:id="225" w:name="_Toc1550393937_WPSOffice_Level2"/>
      <w:bookmarkStart w:id="226" w:name="_Toc702554443"/>
      <w:bookmarkStart w:id="227" w:name="_Toc874621790"/>
      <w:bookmarkStart w:id="228" w:name="_Toc491646129_WPSOffice_Level2"/>
      <w:bookmarkStart w:id="229" w:name="_Toc229139457"/>
      <w:bookmarkStart w:id="230" w:name="_Toc1130786219"/>
      <w:bookmarkStart w:id="231" w:name="_Toc960388964"/>
      <w:bookmarkStart w:id="232" w:name="_Toc1744903856_WPSOffice_Level2"/>
      <w:bookmarkStart w:id="233" w:name="_Toc516778272"/>
      <w:bookmarkStart w:id="234" w:name="_Toc1140657126"/>
      <w:bookmarkStart w:id="235" w:name="_Toc516757662_WPSOffice_Level2"/>
      <w:bookmarkStart w:id="236" w:name="_Toc1288741030"/>
      <w:r>
        <w:rPr>
          <w:rFonts w:hint="eastAsia" w:ascii="仿宋" w:hAnsi="仿宋" w:eastAsia="仿宋" w:cs="仿宋"/>
          <w:b/>
          <w:bCs w:val="0"/>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1561FE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lang w:eastAsia="zh-CN"/>
        </w:rPr>
        <w:t>.开标</w:t>
      </w:r>
    </w:p>
    <w:p w14:paraId="2A2D305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.1开标及解密方式：见“投标人须知前附表”。</w:t>
      </w:r>
    </w:p>
    <w:p w14:paraId="49A9CC1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.2不见面开标大厅网址：见“投标人须知前附表”。</w:t>
      </w:r>
    </w:p>
    <w:p w14:paraId="10420C7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.3开标时间和开标地点：见“投标人须知前附表”。</w:t>
      </w:r>
    </w:p>
    <w:p w14:paraId="5CD1148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.4开标时，集中采购机构将通过网上开标系统公布投标人名称、投标价格以及其它有关内容。</w:t>
      </w:r>
    </w:p>
    <w:p w14:paraId="03B7E9DD">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lang w:eastAsia="zh-CN"/>
        </w:rPr>
        <w:t>资格审查</w:t>
      </w:r>
    </w:p>
    <w:p w14:paraId="3E7427B1">
      <w:pPr>
        <w:pageBreakBefore w:val="0"/>
        <w:wordWrap/>
        <w:topLinePunct w:val="0"/>
        <w:bidi w:val="0"/>
        <w:spacing w:line="360" w:lineRule="auto"/>
        <w:rPr>
          <w:rFonts w:hint="eastAsia" w:ascii="仿宋" w:hAnsi="仿宋" w:eastAsia="仿宋" w:cs="仿宋"/>
          <w:sz w:val="28"/>
          <w:szCs w:val="28"/>
          <w:lang w:eastAsia="zh-CN"/>
        </w:rPr>
      </w:pPr>
      <w:bookmarkStart w:id="237" w:name="_Toc1584989513_WPSOffice_Level3"/>
      <w:bookmarkStart w:id="238" w:name="_Toc694141672_WPSOffice_Level3"/>
      <w:bookmarkStart w:id="239" w:name="_Toc45114864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.1开标结束后，采购人对投标人的资格进行审查。</w:t>
      </w:r>
      <w:bookmarkEnd w:id="237"/>
      <w:bookmarkEnd w:id="238"/>
      <w:bookmarkEnd w:id="239"/>
    </w:p>
    <w:p w14:paraId="5EAFB01A">
      <w:pPr>
        <w:pageBreakBefore w:val="0"/>
        <w:wordWrap/>
        <w:topLinePunct w:val="0"/>
        <w:bidi w:val="0"/>
        <w:spacing w:line="360" w:lineRule="auto"/>
        <w:rPr>
          <w:rFonts w:hint="eastAsia" w:ascii="仿宋" w:hAnsi="仿宋" w:eastAsia="仿宋" w:cs="仿宋"/>
          <w:sz w:val="28"/>
          <w:szCs w:val="28"/>
          <w:lang w:eastAsia="zh-CN"/>
        </w:rPr>
      </w:pPr>
      <w:bookmarkStart w:id="240" w:name="_Toc1493406836_WPSOffice_Level3"/>
      <w:bookmarkStart w:id="241" w:name="_Toc1693296442_WPSOffice_Level3"/>
      <w:bookmarkStart w:id="242" w:name="_Toc85856132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.2合格投标人不足3家的，不得评标。</w:t>
      </w:r>
      <w:bookmarkEnd w:id="240"/>
      <w:bookmarkEnd w:id="241"/>
      <w:bookmarkEnd w:id="242"/>
    </w:p>
    <w:p w14:paraId="7B305F2F">
      <w:pPr>
        <w:pageBreakBefore w:val="0"/>
        <w:wordWrap/>
        <w:topLinePunct w:val="0"/>
        <w:bidi w:val="0"/>
        <w:spacing w:line="360" w:lineRule="auto"/>
        <w:rPr>
          <w:rFonts w:hint="eastAsia" w:ascii="仿宋" w:hAnsi="仿宋" w:eastAsia="仿宋" w:cs="仿宋"/>
          <w:sz w:val="28"/>
          <w:szCs w:val="28"/>
          <w:lang w:eastAsia="zh-CN"/>
        </w:rPr>
      </w:pPr>
      <w:bookmarkStart w:id="243" w:name="_Toc1971674233_WPSOffice_Level3"/>
      <w:bookmarkStart w:id="244" w:name="_Toc21976785_WPSOffice_Level3"/>
      <w:bookmarkStart w:id="245" w:name="_Toc1285333830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.3资格审查标准见“投标人须知前附表”。</w:t>
      </w:r>
      <w:bookmarkEnd w:id="243"/>
      <w:bookmarkEnd w:id="244"/>
      <w:bookmarkEnd w:id="245"/>
    </w:p>
    <w:p w14:paraId="6BFCA47A">
      <w:pPr>
        <w:pageBreakBefore w:val="0"/>
        <w:wordWrap/>
        <w:topLinePunct w:val="0"/>
        <w:bidi w:val="0"/>
        <w:spacing w:line="360" w:lineRule="auto"/>
        <w:rPr>
          <w:rFonts w:hint="eastAsia" w:ascii="仿宋" w:hAnsi="仿宋" w:eastAsia="仿宋" w:cs="仿宋"/>
          <w:sz w:val="28"/>
          <w:szCs w:val="28"/>
          <w:lang w:eastAsia="zh-CN"/>
        </w:rPr>
      </w:pPr>
      <w:bookmarkStart w:id="246" w:name="_Toc1102086292_WPSOffice_Level3"/>
      <w:bookmarkStart w:id="247" w:name="_Toc1785145571_WPSOffice_Level3"/>
      <w:bookmarkStart w:id="248" w:name="_Toc468577997_WPSOffice_Level3"/>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.4信用记录的查询方法：见“投标人须知前附表”。</w:t>
      </w:r>
      <w:bookmarkEnd w:id="246"/>
      <w:bookmarkEnd w:id="247"/>
      <w:bookmarkEnd w:id="248"/>
    </w:p>
    <w:p w14:paraId="02BEB5BB">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.评标委员会</w:t>
      </w:r>
    </w:p>
    <w:p w14:paraId="56771F9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eastAsia" w:ascii="仿宋" w:hAnsi="仿宋" w:eastAsia="仿宋" w:cs="仿宋"/>
          <w:sz w:val="28"/>
          <w:szCs w:val="28"/>
          <w:lang w:val="en-US" w:eastAsia="zh-CN"/>
        </w:rPr>
        <w:t>提交</w:t>
      </w:r>
      <w:r>
        <w:rPr>
          <w:rFonts w:hint="eastAsia" w:ascii="仿宋" w:hAnsi="仿宋" w:eastAsia="仿宋" w:cs="仿宋"/>
          <w:sz w:val="28"/>
          <w:szCs w:val="28"/>
          <w:lang w:eastAsia="zh-CN"/>
        </w:rPr>
        <w:t>抽取</w:t>
      </w:r>
      <w:r>
        <w:rPr>
          <w:rFonts w:hint="eastAsia" w:ascii="仿宋" w:hAnsi="仿宋" w:eastAsia="仿宋" w:cs="仿宋"/>
          <w:sz w:val="28"/>
          <w:szCs w:val="28"/>
          <w:lang w:val="en-US" w:eastAsia="zh-CN"/>
        </w:rPr>
        <w:t>申请</w:t>
      </w:r>
      <w:r>
        <w:rPr>
          <w:rFonts w:hint="eastAsia" w:ascii="仿宋" w:hAnsi="仿宋" w:eastAsia="仿宋" w:cs="仿宋"/>
          <w:sz w:val="28"/>
          <w:szCs w:val="28"/>
          <w:lang w:eastAsia="zh-CN"/>
        </w:rPr>
        <w:t>，有关人员对评标委员会成员名单须严格保密。</w:t>
      </w:r>
    </w:p>
    <w:p w14:paraId="0F73E83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.2与投标人有利害关系的人员不得进入评标委员会。</w:t>
      </w:r>
    </w:p>
    <w:p w14:paraId="19B4E764">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33.</w:t>
      </w:r>
      <w:r>
        <w:rPr>
          <w:rFonts w:hint="eastAsia" w:ascii="仿宋" w:hAnsi="仿宋" w:eastAsia="仿宋" w:cs="仿宋"/>
          <w:b/>
          <w:bCs/>
          <w:sz w:val="28"/>
          <w:szCs w:val="28"/>
          <w:lang w:eastAsia="zh-CN"/>
        </w:rPr>
        <w:t>投标文件的澄清</w:t>
      </w:r>
    </w:p>
    <w:p w14:paraId="0500E04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.1为了有助于对投标文件进行审查、评估和比较，评标委员会有权向投标人</w:t>
      </w:r>
      <w:r>
        <w:rPr>
          <w:rFonts w:hint="eastAsia" w:ascii="仿宋" w:hAnsi="仿宋" w:eastAsia="仿宋" w:cs="仿宋"/>
          <w:sz w:val="28"/>
          <w:szCs w:val="28"/>
          <w:lang w:val="en-US" w:eastAsia="zh-CN"/>
        </w:rPr>
        <w:t>提出澄清</w:t>
      </w:r>
      <w:r>
        <w:rPr>
          <w:rFonts w:hint="eastAsia" w:ascii="仿宋" w:hAnsi="仿宋" w:eastAsia="仿宋" w:cs="仿宋"/>
          <w:sz w:val="28"/>
          <w:szCs w:val="28"/>
          <w:lang w:eastAsia="zh-CN"/>
        </w:rPr>
        <w:t>，请投标人澄清其投标内容。</w:t>
      </w:r>
    </w:p>
    <w:p w14:paraId="7145EE2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.2澄清的答复应加盖投标人公章（或企业电子签章）或由法定代表人（或其委托代理人）签字或签章（或个人电子签章）。</w:t>
      </w:r>
    </w:p>
    <w:p w14:paraId="0E83A59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.3投标人的澄清文件是投标文件的组成部分。</w:t>
      </w:r>
    </w:p>
    <w:p w14:paraId="2C445B3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.4投标文件的澄清不得对投标内容进行实质性修改。</w:t>
      </w:r>
    </w:p>
    <w:p w14:paraId="0E13F14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34.</w:t>
      </w:r>
      <w:r>
        <w:rPr>
          <w:rFonts w:hint="eastAsia" w:ascii="仿宋" w:hAnsi="仿宋" w:eastAsia="仿宋" w:cs="仿宋"/>
          <w:b/>
          <w:bCs/>
          <w:sz w:val="28"/>
          <w:szCs w:val="28"/>
          <w:lang w:eastAsia="zh-CN"/>
        </w:rPr>
        <w:t>投标文件的符合性审查</w:t>
      </w:r>
    </w:p>
    <w:p w14:paraId="46ED6A4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.1评标委员会将审查投标文件是否实质上响应招标文件。通过</w:t>
      </w:r>
      <w:r>
        <w:rPr>
          <w:rFonts w:hint="eastAsia" w:ascii="仿宋" w:hAnsi="仿宋" w:eastAsia="仿宋" w:cs="仿宋"/>
          <w:sz w:val="28"/>
          <w:szCs w:val="28"/>
          <w:lang w:val="en-US" w:eastAsia="zh-CN"/>
        </w:rPr>
        <w:t>符合性审查</w:t>
      </w:r>
      <w:r>
        <w:rPr>
          <w:rFonts w:hint="eastAsia" w:ascii="仿宋" w:hAnsi="仿宋" w:eastAsia="仿宋" w:cs="仿宋"/>
          <w:sz w:val="28"/>
          <w:szCs w:val="28"/>
          <w:lang w:eastAsia="zh-CN"/>
        </w:rPr>
        <w:t>的合格投标人不足3家的，</w:t>
      </w:r>
      <w:r>
        <w:rPr>
          <w:rFonts w:hint="eastAsia" w:ascii="仿宋" w:hAnsi="仿宋" w:eastAsia="仿宋" w:cs="仿宋"/>
          <w:sz w:val="28"/>
          <w:szCs w:val="28"/>
          <w:lang w:val="en-US" w:eastAsia="zh-CN"/>
        </w:rPr>
        <w:t>项目废标</w:t>
      </w:r>
      <w:r>
        <w:rPr>
          <w:rFonts w:hint="eastAsia" w:ascii="仿宋" w:hAnsi="仿宋" w:eastAsia="仿宋" w:cs="仿宋"/>
          <w:sz w:val="28"/>
          <w:szCs w:val="28"/>
          <w:lang w:eastAsia="zh-CN"/>
        </w:rPr>
        <w:t>。</w:t>
      </w:r>
    </w:p>
    <w:p w14:paraId="211140D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.2允许修正投标文件中不构成重大偏离的、微小的、非正规的、不一致或不规则的地方。</w:t>
      </w:r>
    </w:p>
    <w:p w14:paraId="2A8B7FB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.3在对投标文件进行详细评</w:t>
      </w:r>
      <w:r>
        <w:rPr>
          <w:rFonts w:hint="eastAsia" w:ascii="仿宋" w:hAnsi="仿宋" w:eastAsia="仿宋" w:cs="仿宋"/>
          <w:sz w:val="28"/>
          <w:szCs w:val="28"/>
          <w:lang w:val="en-US" w:eastAsia="zh-CN"/>
        </w:rPr>
        <w:t>审</w:t>
      </w:r>
      <w:r>
        <w:rPr>
          <w:rFonts w:hint="eastAsia" w:ascii="仿宋" w:hAnsi="仿宋" w:eastAsia="仿宋" w:cs="仿宋"/>
          <w:sz w:val="28"/>
          <w:szCs w:val="28"/>
          <w:lang w:eastAsia="zh-CN"/>
        </w:rPr>
        <w:t>之前，评标委员会将确定</w:t>
      </w:r>
      <w:r>
        <w:rPr>
          <w:rFonts w:hint="eastAsia" w:ascii="仿宋" w:hAnsi="仿宋" w:eastAsia="仿宋" w:cs="仿宋"/>
          <w:sz w:val="28"/>
          <w:szCs w:val="28"/>
          <w:lang w:val="en-US" w:eastAsia="zh-CN"/>
        </w:rPr>
        <w:t>投标文件</w:t>
      </w:r>
      <w:r>
        <w:rPr>
          <w:rFonts w:hint="eastAsia" w:ascii="仿宋" w:hAnsi="仿宋" w:eastAsia="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439B0E0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.4评标委员会判断投标文件的响应性仅基于投标文件本身内容而不靠外部证据。</w:t>
      </w:r>
    </w:p>
    <w:p w14:paraId="5A16C7D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.5实质上没有响应招标文件要求的投标将被视为无效投标，投标人不得通过修正或撤消不符之处而使其投标成为实质上响应投标。</w:t>
      </w:r>
    </w:p>
    <w:p w14:paraId="128A6C59">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.6</w:t>
      </w:r>
      <w:r>
        <w:rPr>
          <w:rFonts w:hint="eastAsia" w:ascii="仿宋" w:hAnsi="仿宋" w:eastAsia="仿宋" w:cs="仿宋"/>
          <w:sz w:val="28"/>
          <w:szCs w:val="28"/>
          <w:lang w:val="en-US" w:eastAsia="zh-CN"/>
        </w:rPr>
        <w:t>参与同一个标段（包）的投标人存在下列情形之一的，其投标（响应）文件无效：</w:t>
      </w:r>
    </w:p>
    <w:p w14:paraId="3487811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（1）不同投标人的电子投标（响应）文件上传计算机的网卡MAC地址、CPU序列号和硬盘序列号等硬件信息相同的；</w:t>
      </w:r>
    </w:p>
    <w:p w14:paraId="150BAA3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（2）不同投标人的投标（响应）文件由同一电子设备编制、加密或者上传；</w:t>
      </w:r>
    </w:p>
    <w:p w14:paraId="7DBA3AF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（3）不同投标人的投标（响应）文件由同一人送达或者分发，或者不同投标人联系人为同一人或不同联系人的联系电话一致的；</w:t>
      </w:r>
    </w:p>
    <w:p w14:paraId="22E2C32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（4）不同投标人的投标（响应）文件的内容存在两处以上专有细节错误一致；</w:t>
      </w:r>
    </w:p>
    <w:p w14:paraId="1400ACD5">
      <w:pPr>
        <w:pageBreakBefore w:val="0"/>
        <w:wordWrap/>
        <w:topLinePunct w:val="0"/>
        <w:bidi w:val="0"/>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rPr>
        <w:t>（5）其它涉嫌串通的情形。</w:t>
      </w:r>
    </w:p>
    <w:p w14:paraId="4510A9C5">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34.7有下列情形之一的，视为投标人串通投标，其投标无效：</w:t>
      </w:r>
    </w:p>
    <w:p w14:paraId="3795F08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7E8E5A9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6C4DB86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5A5C4069">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22D9C08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05A01F62">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（6）不同投标人的投标保证金从同一单位或者个人的账户转出。</w:t>
      </w:r>
    </w:p>
    <w:p w14:paraId="10A4070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.投标的评价</w:t>
      </w:r>
    </w:p>
    <w:p w14:paraId="20A95A23">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.1投标文件报价出现前后不一致的，按照下列规定修正：</w:t>
      </w:r>
    </w:p>
    <w:p w14:paraId="4C7FFA5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（1）投标文件中开标一览表（报价表）内容与投标文件中相应内容不一致的，以开标一览表（报价表）为准；</w:t>
      </w:r>
    </w:p>
    <w:p w14:paraId="6A191939">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（2）大写金额和小写金额不一致的，以大写金额为准；</w:t>
      </w:r>
    </w:p>
    <w:p w14:paraId="0DCCB7A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（3）单价金额小数点或者百分比有明显错位的，以开标一览表的总价为准，并修改单价；</w:t>
      </w:r>
    </w:p>
    <w:p w14:paraId="0F013C06">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（4</w:t>
      </w:r>
      <w:r>
        <w:rPr>
          <w:rFonts w:hint="eastAsia" w:ascii="仿宋" w:hAnsi="仿宋" w:eastAsia="仿宋" w:cs="仿宋"/>
          <w:color w:val="auto"/>
          <w:sz w:val="28"/>
          <w:szCs w:val="28"/>
          <w:lang w:eastAsia="zh-CN"/>
        </w:rPr>
        <w:t>）总价金额与按单价汇总金额不一致的，以单价金额计算结果为准。</w:t>
      </w:r>
    </w:p>
    <w:p w14:paraId="64D246D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同时出现两种以上不一致的，按照前款规定的顺序修正。修正后的报价经投标人确认后产生约束力，投标人不确认的，其投标无效。</w:t>
      </w:r>
    </w:p>
    <w:p w14:paraId="16607C4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77D1186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.3评标委员会只对已判定为实质性响应的投标文件进行评价和比较。</w:t>
      </w:r>
    </w:p>
    <w:p w14:paraId="44FABF47">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.评标价的确定</w:t>
      </w:r>
    </w:p>
    <w:p w14:paraId="170A45E1">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351FDAC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（1）采购项目或采购包预留釆购份额专门面向中小企业采购；</w:t>
      </w:r>
    </w:p>
    <w:p w14:paraId="78E4415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（2）未预留份额专门面向中小企业釆购的釆购项目，以及预留份额项目中的非预留部分釆购包，对小微企业报价给予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0%的扣除，用扣除后的价格参加评审。中小企业扶持政策：见“投标人须知前附表”。</w:t>
      </w:r>
    </w:p>
    <w:p w14:paraId="6FD8D0AE">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190605C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（4）监狱企业视同小型、微型企业，投标人应提供省级及以上监狱管理局、戒毒管理局（含新疆生产建设兵团）出具的属于监狱企业的证明文件。</w:t>
      </w:r>
    </w:p>
    <w:p w14:paraId="2EE6F95B">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7FB9A91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36.2支持本国产品要求</w:t>
      </w:r>
    </w:p>
    <w:p w14:paraId="5E5DB606">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五章 投标文件格式）或财政部会同有关部门规定的有关证明文件，《声明函》或有关证明文件符合要求的，该产品视为本国产品。本项目适用情形详见“投标人须知前附表”的规定。</w:t>
      </w:r>
    </w:p>
    <w:p w14:paraId="7150C746">
      <w:pPr>
        <w:pageBreakBefore w:val="0"/>
        <w:wordWrap/>
        <w:topLinePunct w:val="0"/>
        <w:bidi w:val="0"/>
        <w:spacing w:line="360" w:lineRule="auto"/>
        <w:rPr>
          <w:rFonts w:hint="eastAsia" w:ascii="仿宋" w:hAnsi="仿宋" w:eastAsia="仿宋" w:cs="仿宋"/>
          <w:sz w:val="28"/>
          <w:szCs w:val="28"/>
          <w:lang w:val="zh-TW" w:eastAsia="zh-TW"/>
        </w:rPr>
      </w:pPr>
      <w:r>
        <w:rPr>
          <w:rFonts w:hint="eastAsia" w:ascii="仿宋" w:hAnsi="仿宋" w:eastAsia="仿宋" w:cs="仿宋"/>
          <w:sz w:val="28"/>
          <w:szCs w:val="28"/>
          <w:lang w:val="en-US" w:eastAsia="zh-CN"/>
        </w:rPr>
        <w:t xml:space="preserve">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7A5C2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36.3</w:t>
      </w:r>
      <w:r>
        <w:rPr>
          <w:rFonts w:hint="eastAsia" w:ascii="仿宋" w:hAnsi="仿宋" w:eastAsia="仿宋" w:cs="仿宋"/>
          <w:sz w:val="28"/>
          <w:szCs w:val="28"/>
          <w:lang w:eastAsia="zh-CN"/>
        </w:rPr>
        <w:t>评标价不作为中标价和合同签约价，中标价和合同签约价仍以其投标文件中的报价为准。</w:t>
      </w:r>
    </w:p>
    <w:p w14:paraId="1B9B8BA2">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7</w:t>
      </w:r>
      <w:r>
        <w:rPr>
          <w:rFonts w:hint="eastAsia" w:ascii="仿宋" w:hAnsi="仿宋" w:eastAsia="仿宋" w:cs="仿宋"/>
          <w:b/>
          <w:bCs/>
          <w:sz w:val="28"/>
          <w:szCs w:val="28"/>
          <w:lang w:eastAsia="zh-CN"/>
        </w:rPr>
        <w:t>.评标结果</w:t>
      </w:r>
    </w:p>
    <w:p w14:paraId="3256DA9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.1评标委员会按照招标文件中规定的评标方法和标准，对符合性审查合格的投标文件进行商务和技术评</w:t>
      </w:r>
      <w:r>
        <w:rPr>
          <w:rFonts w:hint="eastAsia" w:ascii="仿宋" w:hAnsi="仿宋" w:eastAsia="仿宋" w:cs="仿宋"/>
          <w:sz w:val="28"/>
          <w:szCs w:val="28"/>
          <w:lang w:val="en-US" w:eastAsia="zh-CN"/>
        </w:rPr>
        <w:t>审</w:t>
      </w:r>
      <w:r>
        <w:rPr>
          <w:rFonts w:hint="eastAsia" w:ascii="仿宋" w:hAnsi="仿宋" w:eastAsia="仿宋" w:cs="仿宋"/>
          <w:sz w:val="28"/>
          <w:szCs w:val="28"/>
          <w:lang w:eastAsia="zh-CN"/>
        </w:rPr>
        <w:t>，综合比较与评价。</w:t>
      </w:r>
    </w:p>
    <w:p w14:paraId="7FC7C19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.2投标人的评审得分为所有评委评审得分的算术平均值，评审得分取至小数点后两位（第三位四舍五入）。</w:t>
      </w:r>
    </w:p>
    <w:p w14:paraId="5DF4C2D9">
      <w:pPr>
        <w:pStyle w:val="2"/>
        <w:pageBreakBefore w:val="0"/>
        <w:wordWrap/>
        <w:topLinePunct w:val="0"/>
        <w:bidi w:val="0"/>
        <w:spacing w:line="360" w:lineRule="auto"/>
        <w:rPr>
          <w:rFonts w:hint="eastAsia" w:ascii="仿宋" w:hAnsi="仿宋" w:eastAsia="仿宋" w:cs="仿宋"/>
        </w:rPr>
      </w:pPr>
      <w:r>
        <w:rPr>
          <w:rFonts w:hint="eastAsia" w:ascii="仿宋" w:hAnsi="仿宋" w:eastAsia="仿宋" w:cs="仿宋"/>
          <w:b/>
          <w:bCs/>
          <w:sz w:val="28"/>
          <w:szCs w:val="28"/>
        </w:rPr>
        <w:t>38.</w:t>
      </w:r>
      <w:r>
        <w:rPr>
          <w:rFonts w:hint="eastAsia" w:ascii="仿宋" w:hAnsi="仿宋" w:eastAsia="仿宋" w:cs="仿宋"/>
          <w:b/>
          <w:color w:val="auto"/>
          <w:sz w:val="28"/>
          <w:szCs w:val="28"/>
        </w:rPr>
        <w:t>推荐中标候选人原则及标准</w:t>
      </w:r>
    </w:p>
    <w:p w14:paraId="0063B2BC">
      <w:pPr>
        <w:pageBreakBefore w:val="0"/>
        <w:widowControl w:val="0"/>
        <w:wordWrap/>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除非“投标人须知前附表”有特殊约定，否则评标委员会按评审后得分由高到低顺序</w:t>
      </w:r>
      <w:r>
        <w:rPr>
          <w:rFonts w:hint="eastAsia" w:ascii="仿宋" w:hAnsi="仿宋" w:eastAsia="仿宋" w:cs="仿宋"/>
          <w:color w:val="auto"/>
          <w:sz w:val="28"/>
          <w:szCs w:val="28"/>
          <w:lang w:val="en-US" w:eastAsia="zh-CN"/>
        </w:rPr>
        <w:t>排列。按投标人须知前附表中规定数量推荐中标候选人。</w:t>
      </w:r>
    </w:p>
    <w:p w14:paraId="6E3656C3">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w:t>
      </w: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eastAsia="zh-CN"/>
        </w:rPr>
        <w:t>.保密及其它注意事项</w:t>
      </w:r>
    </w:p>
    <w:p w14:paraId="5F5ED40A">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.1评标是招标工作的重要环节，评标工作在评标委员会内独立进行。</w:t>
      </w:r>
    </w:p>
    <w:p w14:paraId="3E5C09DD">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.2评标委员会将遵照规定的评标方法，公正、平等地对待所有投标人。</w:t>
      </w:r>
    </w:p>
    <w:p w14:paraId="197E0EA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.3在评标期间，投标人不得向评委询问评标情况，不得进行旨在影响评标结果的活动。</w:t>
      </w:r>
    </w:p>
    <w:p w14:paraId="5721908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.4为保证评标的公正性，开标后直至授予投标人合同，评委不得与投标人私下交换意见。</w:t>
      </w:r>
    </w:p>
    <w:p w14:paraId="7FFA066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.5在评标工作结束后，凡与评标情况有接触的任何人不得擅自将评标情况扩散出评标人员之外。</w:t>
      </w:r>
    </w:p>
    <w:p w14:paraId="2B774422">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.6评标结束后，概不退还投标文件。</w:t>
      </w:r>
    </w:p>
    <w:p w14:paraId="66E6A982">
      <w:pPr>
        <w:pStyle w:val="4"/>
        <w:pageBreakBefore w:val="0"/>
        <w:wordWrap/>
        <w:topLinePunct w:val="0"/>
        <w:bidi w:val="0"/>
        <w:spacing w:line="360" w:lineRule="auto"/>
        <w:rPr>
          <w:rFonts w:hint="eastAsia" w:ascii="仿宋" w:hAnsi="仿宋" w:eastAsia="仿宋" w:cs="仿宋"/>
          <w:lang w:eastAsia="zh-CN"/>
        </w:rPr>
      </w:pPr>
    </w:p>
    <w:p w14:paraId="62604F28">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49" w:name="_Toc249591238"/>
      <w:bookmarkStart w:id="250" w:name="_Toc69887890"/>
      <w:bookmarkStart w:id="251" w:name="_Toc1052785819"/>
      <w:bookmarkStart w:id="252" w:name="_Toc529068754"/>
      <w:bookmarkStart w:id="253" w:name="_Toc1199683400_WPSOffice_Level2"/>
      <w:bookmarkStart w:id="254" w:name="_Toc917262788"/>
      <w:bookmarkStart w:id="255" w:name="_Toc1542593003"/>
      <w:bookmarkStart w:id="256" w:name="_Toc469259728"/>
      <w:bookmarkStart w:id="257" w:name="_Toc34536976"/>
      <w:bookmarkStart w:id="258" w:name="_Toc825115381"/>
      <w:bookmarkStart w:id="259" w:name="_Toc1092967952_WPSOffice_Level2"/>
      <w:bookmarkStart w:id="260" w:name="_Toc57506616"/>
      <w:bookmarkStart w:id="261" w:name="_Toc2899487"/>
      <w:bookmarkStart w:id="262" w:name="_Toc1781574470_WPSOffice_Level2"/>
      <w:bookmarkStart w:id="263" w:name="_Toc1426358028_WPSOffice_Level2"/>
      <w:r>
        <w:rPr>
          <w:rFonts w:hint="eastAsia" w:ascii="仿宋" w:hAnsi="仿宋" w:eastAsia="仿宋" w:cs="仿宋"/>
          <w:b/>
          <w:bCs w:val="0"/>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21249B3">
      <w:pPr>
        <w:keepNext/>
        <w:keepLines/>
        <w:pageBreakBefore w:val="0"/>
        <w:widowControl w:val="0"/>
        <w:wordWrap/>
        <w:topLinePunct w:val="0"/>
        <w:autoSpaceDE w:val="0"/>
        <w:autoSpaceDN w:val="0"/>
        <w:bidi w:val="0"/>
        <w:adjustRightInd w:val="0"/>
        <w:spacing w:line="360" w:lineRule="auto"/>
        <w:jc w:val="left"/>
        <w:rPr>
          <w:rFonts w:hint="eastAsia" w:ascii="仿宋" w:hAnsi="仿宋" w:eastAsia="仿宋" w:cs="仿宋"/>
          <w:b/>
          <w:color w:val="auto"/>
          <w:kern w:val="0"/>
          <w:sz w:val="28"/>
          <w:szCs w:val="28"/>
          <w:lang w:val="en-US" w:eastAsia="zh-CN"/>
        </w:rPr>
      </w:pPr>
      <w:r>
        <w:rPr>
          <w:rFonts w:hint="eastAsia" w:ascii="仿宋" w:hAnsi="仿宋" w:eastAsia="仿宋" w:cs="仿宋"/>
          <w:b/>
          <w:bCs/>
          <w:sz w:val="28"/>
          <w:szCs w:val="28"/>
          <w:lang w:val="en-US" w:eastAsia="zh-CN"/>
        </w:rPr>
        <w:t>40</w:t>
      </w:r>
      <w:r>
        <w:rPr>
          <w:rFonts w:hint="eastAsia" w:ascii="仿宋" w:hAnsi="仿宋" w:eastAsia="仿宋" w:cs="仿宋"/>
          <w:b/>
          <w:bCs/>
          <w:sz w:val="28"/>
          <w:szCs w:val="28"/>
          <w:lang w:eastAsia="zh-CN"/>
        </w:rPr>
        <w:t>.</w:t>
      </w:r>
      <w:r>
        <w:rPr>
          <w:rFonts w:hint="eastAsia" w:ascii="仿宋" w:hAnsi="仿宋" w:eastAsia="仿宋" w:cs="仿宋"/>
          <w:b/>
          <w:color w:val="auto"/>
          <w:kern w:val="0"/>
          <w:sz w:val="28"/>
          <w:szCs w:val="28"/>
          <w:lang w:val="en-US" w:eastAsia="zh-CN"/>
        </w:rPr>
        <w:t>确定中标人</w:t>
      </w:r>
    </w:p>
    <w:p w14:paraId="196AA52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3E784A6C">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40.2</w:t>
      </w:r>
      <w:r>
        <w:rPr>
          <w:rFonts w:hint="eastAsia" w:ascii="仿宋" w:hAnsi="仿宋" w:eastAsia="仿宋" w:cs="仿宋"/>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4A6A83E5">
      <w:pPr>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41.发布中标公告及发出中标通知书</w:t>
      </w:r>
    </w:p>
    <w:p w14:paraId="0F141B34">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采购人按规定确定中标人后，</w:t>
      </w:r>
      <w:r>
        <w:rPr>
          <w:rFonts w:hint="eastAsia" w:ascii="仿宋" w:hAnsi="仿宋" w:eastAsia="仿宋" w:cs="仿宋"/>
          <w:sz w:val="28"/>
          <w:szCs w:val="28"/>
          <w:lang w:val="en-US" w:eastAsia="zh-CN"/>
        </w:rPr>
        <w:t>采购人或</w:t>
      </w:r>
      <w:r>
        <w:rPr>
          <w:rFonts w:hint="eastAsia" w:ascii="仿宋" w:hAnsi="仿宋" w:eastAsia="仿宋" w:cs="仿宋"/>
          <w:sz w:val="28"/>
          <w:szCs w:val="28"/>
          <w:lang w:eastAsia="zh-CN"/>
        </w:rPr>
        <w:t>集中采购机构应将中标结果在“投标人须知前附表”规定的媒介上予以公告，中标结果公告期限为1个工作日。</w:t>
      </w:r>
    </w:p>
    <w:p w14:paraId="507E6C73">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41.2发布中标公告同时向中标人发出中标通知书。</w:t>
      </w:r>
    </w:p>
    <w:p w14:paraId="6D7D9644">
      <w:pPr>
        <w:pStyle w:val="4"/>
        <w:pageBreakBefore w:val="0"/>
        <w:wordWrap/>
        <w:topLinePunct w:val="0"/>
        <w:bidi w:val="0"/>
        <w:spacing w:before="0" w:line="360" w:lineRule="auto"/>
        <w:rPr>
          <w:rFonts w:hint="eastAsia" w:ascii="仿宋" w:hAnsi="仿宋" w:eastAsia="仿宋" w:cs="仿宋"/>
          <w:lang w:val="en-US" w:eastAsia="zh-CN"/>
        </w:rPr>
      </w:pPr>
      <w:r>
        <w:rPr>
          <w:rFonts w:hint="eastAsia" w:ascii="仿宋" w:hAnsi="仿宋" w:eastAsia="仿宋" w:cs="仿宋"/>
          <w:sz w:val="28"/>
          <w:szCs w:val="28"/>
          <w:lang w:val="en-US" w:eastAsia="zh-CN"/>
        </w:rPr>
        <w:t>41.3</w:t>
      </w:r>
      <w:r>
        <w:rPr>
          <w:rFonts w:hint="eastAsia" w:ascii="仿宋" w:hAnsi="仿宋" w:eastAsia="仿宋" w:cs="仿宋"/>
          <w:kern w:val="1"/>
          <w:sz w:val="28"/>
          <w:szCs w:val="28"/>
          <w:lang w:eastAsia="zh-CN"/>
        </w:rPr>
        <w:t>中标通知书发出后，采购人不得违法改变</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结果，中标</w:t>
      </w:r>
      <w:r>
        <w:rPr>
          <w:rFonts w:hint="eastAsia" w:ascii="仿宋" w:hAnsi="仿宋" w:eastAsia="仿宋" w:cs="仿宋"/>
          <w:kern w:val="1"/>
          <w:sz w:val="28"/>
          <w:szCs w:val="28"/>
          <w:lang w:val="en-US" w:eastAsia="zh-CN"/>
        </w:rPr>
        <w:t>人</w:t>
      </w:r>
      <w:r>
        <w:rPr>
          <w:rFonts w:hint="eastAsia" w:ascii="仿宋" w:hAnsi="仿宋" w:eastAsia="仿宋" w:cs="仿宋"/>
          <w:kern w:val="1"/>
          <w:sz w:val="28"/>
          <w:szCs w:val="28"/>
          <w:lang w:eastAsia="zh-CN"/>
        </w:rPr>
        <w:t>无正当理由不得放弃</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w:t>
      </w:r>
    </w:p>
    <w:p w14:paraId="6BED3965">
      <w:pPr>
        <w:pageBreakBefore w:val="0"/>
        <w:widowControl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.接受和拒绝任何或所有投标的权利</w:t>
      </w:r>
    </w:p>
    <w:p w14:paraId="71C8D56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0012A37B">
      <w:pPr>
        <w:pageBreakBefore w:val="0"/>
        <w:wordWrap/>
        <w:topLinePunct w:val="0"/>
        <w:bidi w:val="0"/>
        <w:spacing w:line="360" w:lineRule="auto"/>
        <w:rPr>
          <w:rFonts w:hint="eastAsia" w:ascii="仿宋" w:hAnsi="仿宋" w:eastAsia="仿宋" w:cs="仿宋"/>
          <w:b/>
          <w:bCs/>
          <w:sz w:val="28"/>
          <w:szCs w:val="28"/>
          <w:lang w:eastAsia="zh-CN"/>
        </w:rPr>
      </w:pPr>
    </w:p>
    <w:p w14:paraId="399EA081">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color w:val="auto"/>
          <w:kern w:val="0"/>
          <w:sz w:val="30"/>
          <w:szCs w:val="30"/>
          <w:lang w:val="en-US" w:eastAsia="zh-CN"/>
        </w:rPr>
      </w:pPr>
      <w:bookmarkStart w:id="264" w:name="_Toc1194929028_WPSOffice_Level2"/>
      <w:bookmarkStart w:id="265" w:name="_Toc289293782"/>
      <w:bookmarkStart w:id="266" w:name="_Toc155496134_WPSOffice_Level2"/>
      <w:bookmarkStart w:id="267" w:name="_Toc1835231440"/>
      <w:bookmarkStart w:id="268" w:name="_Toc1435125006"/>
      <w:bookmarkStart w:id="269" w:name="_Toc2132928082"/>
      <w:bookmarkStart w:id="270" w:name="_Toc212998948_WPSOffice_Level2"/>
      <w:bookmarkStart w:id="271" w:name="_Toc1674499174"/>
      <w:bookmarkStart w:id="272" w:name="_Toc2045390548_WPSOffice_Level2"/>
      <w:bookmarkStart w:id="273" w:name="_Toc272788692"/>
      <w:bookmarkStart w:id="274" w:name="_Toc285838294"/>
      <w:bookmarkStart w:id="275" w:name="_Toc387142253"/>
      <w:bookmarkStart w:id="276" w:name="_Toc1253526278"/>
      <w:bookmarkStart w:id="277" w:name="_Toc574236286"/>
      <w:bookmarkStart w:id="278" w:name="_Toc420601376"/>
      <w:r>
        <w:rPr>
          <w:rFonts w:hint="eastAsia" w:ascii="仿宋" w:hAnsi="仿宋" w:eastAsia="仿宋" w:cs="仿宋"/>
          <w:b/>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4170C96">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.合同授予标准</w:t>
      </w:r>
    </w:p>
    <w:p w14:paraId="69EF9AD0">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除本章第4</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条、</w:t>
      </w:r>
      <w:r>
        <w:rPr>
          <w:rFonts w:hint="eastAsia" w:ascii="仿宋" w:hAnsi="仿宋" w:eastAsia="仿宋" w:cs="仿宋"/>
          <w:sz w:val="28"/>
          <w:szCs w:val="28"/>
          <w:lang w:val="en-US" w:eastAsia="zh-CN"/>
        </w:rPr>
        <w:t>47条</w:t>
      </w:r>
      <w:r>
        <w:rPr>
          <w:rFonts w:hint="eastAsia" w:ascii="仿宋" w:hAnsi="仿宋" w:eastAsia="仿宋" w:cs="仿宋"/>
          <w:sz w:val="28"/>
          <w:szCs w:val="28"/>
          <w:lang w:eastAsia="zh-CN"/>
        </w:rPr>
        <w:t>的规定之外，采购人将把合同授予被确定为实质上响应招标文件要求并有履行合同能力的评审后综合得分最高的投标人。</w:t>
      </w:r>
    </w:p>
    <w:p w14:paraId="51BEFF6E">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.合同授予时追加采购服务数量的权利</w:t>
      </w:r>
    </w:p>
    <w:p w14:paraId="64D4723B">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采购人在授予合同时有权在“投标人须知前附表”规定的范围内，对项目需求中规定的服务的量予以增加，但不得对服务内容或其它实质性的条款和条件做任何改变。</w:t>
      </w:r>
    </w:p>
    <w:p w14:paraId="3831B45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45.</w:t>
      </w:r>
      <w:r>
        <w:rPr>
          <w:rFonts w:hint="eastAsia" w:ascii="仿宋" w:hAnsi="仿宋" w:eastAsia="仿宋" w:cs="仿宋"/>
          <w:b/>
          <w:bCs/>
          <w:sz w:val="28"/>
          <w:szCs w:val="28"/>
          <w:lang w:eastAsia="zh-CN"/>
        </w:rPr>
        <w:t>签订合同</w:t>
      </w:r>
    </w:p>
    <w:p w14:paraId="72224A16">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0FA25537">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.2招标文件、中标人的投标文件和澄清文件等，均应作为签约的合同文本的基础。</w:t>
      </w:r>
    </w:p>
    <w:p w14:paraId="5C532668">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1BAE6F99">
      <w:pPr>
        <w:pageBreakBefore w:val="0"/>
        <w:wordWrap/>
        <w:topLinePunct w:val="0"/>
        <w:bidi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46.</w:t>
      </w:r>
      <w:r>
        <w:rPr>
          <w:rFonts w:hint="eastAsia" w:ascii="仿宋" w:hAnsi="仿宋" w:eastAsia="仿宋" w:cs="仿宋"/>
          <w:b/>
          <w:bCs/>
          <w:sz w:val="28"/>
          <w:szCs w:val="28"/>
          <w:lang w:eastAsia="zh-CN"/>
        </w:rPr>
        <w:t>履约保证金</w:t>
      </w:r>
    </w:p>
    <w:p w14:paraId="1BAAD45E">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中标人应按</w:t>
      </w:r>
      <w:r>
        <w:rPr>
          <w:rFonts w:hint="eastAsia" w:ascii="仿宋" w:hAnsi="仿宋" w:eastAsia="仿宋" w:cs="仿宋"/>
          <w:sz w:val="28"/>
          <w:szCs w:val="28"/>
          <w:lang w:val="en-US" w:eastAsia="zh-CN"/>
        </w:rPr>
        <w:t>招标文件</w:t>
      </w:r>
      <w:r>
        <w:rPr>
          <w:rFonts w:hint="eastAsia" w:ascii="仿宋" w:hAnsi="仿宋" w:eastAsia="仿宋" w:cs="仿宋"/>
          <w:sz w:val="28"/>
          <w:szCs w:val="28"/>
          <w:lang w:eastAsia="zh-CN"/>
        </w:rPr>
        <w:t>的规定向采购人提交履约保证金。采购人不得以中标人事先缴纳履约保证金作为签订合同的条件,并应在中标人履行完合同约定义务事项后及时退还。</w:t>
      </w:r>
    </w:p>
    <w:p w14:paraId="7DCF1235">
      <w:pPr>
        <w:pageBreakBefore w:val="0"/>
        <w:wordWrap/>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47.</w:t>
      </w:r>
      <w:r>
        <w:rPr>
          <w:rFonts w:hint="eastAsia" w:ascii="仿宋" w:hAnsi="仿宋" w:eastAsia="仿宋" w:cs="仿宋"/>
          <w:sz w:val="28"/>
          <w:szCs w:val="28"/>
          <w:lang w:eastAsia="zh-CN"/>
        </w:rPr>
        <w:t>如中标人不按本章第4</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条约定签订合同，依照《中华人民共和国政府采购法》《中华人民共和国政府采购法实施条例》《政府采购货物和服务招标投标管理办法》（财政部令第87号）等规定</w:t>
      </w:r>
      <w:r>
        <w:rPr>
          <w:rFonts w:hint="eastAsia" w:ascii="仿宋" w:hAnsi="仿宋" w:eastAsia="仿宋" w:cs="仿宋"/>
          <w:sz w:val="28"/>
          <w:szCs w:val="28"/>
          <w:lang w:val="en-US" w:eastAsia="zh-CN"/>
        </w:rPr>
        <w:t>承</w:t>
      </w:r>
      <w:r>
        <w:rPr>
          <w:rFonts w:hint="eastAsia" w:ascii="仿宋" w:hAnsi="仿宋" w:eastAsia="仿宋" w:cs="仿宋"/>
          <w:sz w:val="28"/>
          <w:szCs w:val="28"/>
          <w:lang w:eastAsia="zh-CN"/>
        </w:rPr>
        <w:t>担相应的违约责任）。采购人可在按照评审报告推荐的中标或者成交候选人名单排序，确定下一中标候选人为中标人，也可以重新开展政府采购活动。</w:t>
      </w:r>
    </w:p>
    <w:p w14:paraId="2075EBC8">
      <w:pPr>
        <w:keepNext/>
        <w:keepLines/>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48.招标代理费</w:t>
      </w:r>
    </w:p>
    <w:p w14:paraId="312286E0">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本项目是否由中标人向</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支付招标代理费，按照投标人须知前附表规定执行。</w:t>
      </w:r>
    </w:p>
    <w:p w14:paraId="7FE13FD5">
      <w:pPr>
        <w:keepNext/>
        <w:keepLines/>
        <w:pageBreakBefore w:val="0"/>
        <w:wordWrap/>
        <w:topLinePunct w:val="0"/>
        <w:bidi w:val="0"/>
        <w:spacing w:line="360" w:lineRule="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49.质疑的提出与接收</w:t>
      </w:r>
    </w:p>
    <w:p w14:paraId="4B5BAF24">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eastAsia" w:ascii="仿宋" w:hAnsi="仿宋" w:eastAsia="仿宋" w:cs="仿宋"/>
          <w:sz w:val="28"/>
          <w:szCs w:val="28"/>
          <w:lang w:eastAsia="zh-CN"/>
        </w:rPr>
        <w:t>集中采购机构</w:t>
      </w:r>
      <w:r>
        <w:rPr>
          <w:rFonts w:hint="eastAsia" w:ascii="仿宋" w:hAnsi="仿宋" w:eastAsia="仿宋" w:cs="仿宋"/>
          <w:sz w:val="28"/>
          <w:szCs w:val="28"/>
          <w:lang w:val="en-US" w:eastAsia="zh-CN"/>
        </w:rPr>
        <w:t>提出书面质疑。</w:t>
      </w:r>
    </w:p>
    <w:p w14:paraId="09474A5D">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4953469A">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49.3质疑中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55130FB3">
      <w:pPr>
        <w:pageBreakBefore w:val="0"/>
        <w:wordWrap/>
        <w:topLinePunct w:val="0"/>
        <w:bidi w:val="0"/>
        <w:spacing w:line="360" w:lineRule="auto"/>
        <w:rPr>
          <w:rFonts w:hint="eastAsia" w:ascii="仿宋" w:hAnsi="仿宋" w:eastAsia="仿宋" w:cs="仿宋"/>
          <w:sz w:val="28"/>
          <w:szCs w:val="28"/>
          <w:lang w:eastAsia="zh-CN"/>
        </w:rPr>
      </w:pPr>
    </w:p>
    <w:p w14:paraId="4CB91A19">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279" w:name="_Toc1226187921"/>
      <w:bookmarkStart w:id="280" w:name="_Toc2050602757_WPSOffice_Level2"/>
      <w:bookmarkStart w:id="281" w:name="_Toc1615377744"/>
      <w:bookmarkStart w:id="282" w:name="_Toc1786314322"/>
      <w:bookmarkStart w:id="283" w:name="_Toc2106161628_WPSOffice_Level2"/>
      <w:bookmarkStart w:id="284" w:name="_Toc1766978063_WPSOffice_Level2"/>
      <w:bookmarkStart w:id="285" w:name="_Toc1014127690"/>
      <w:bookmarkStart w:id="286" w:name="_Toc65811364"/>
      <w:bookmarkStart w:id="287" w:name="_Toc691566780"/>
      <w:bookmarkStart w:id="288" w:name="_Toc512476358"/>
      <w:bookmarkStart w:id="289" w:name="_Toc449097168_WPSOffice_Level2"/>
      <w:bookmarkStart w:id="290" w:name="_Toc1108985532"/>
      <w:bookmarkStart w:id="291" w:name="_Toc1294126331"/>
      <w:bookmarkStart w:id="292" w:name="_Toc2042622906"/>
      <w:bookmarkStart w:id="293" w:name="_Toc1719815385"/>
      <w:r>
        <w:rPr>
          <w:rFonts w:hint="eastAsia" w:ascii="仿宋" w:hAnsi="仿宋" w:eastAsia="仿宋" w:cs="仿宋"/>
          <w:b/>
          <w:bCs w:val="0"/>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A78ECF0">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50.需要补充的其他内容：见“投标人须知前附表”。</w:t>
      </w:r>
    </w:p>
    <w:p w14:paraId="1BE28031">
      <w:pPr>
        <w:pageBreakBefore w:val="0"/>
        <w:wordWrap/>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51.本文件中的“以上”、“以下”、“以内”、“届满”，包括本数；所称的“不满”“不足”、“超过”、“以外”，不包括本数。</w:t>
      </w:r>
    </w:p>
    <w:p w14:paraId="2535D050">
      <w:pPr>
        <w:pageBreakBefore w:val="0"/>
        <w:wordWrap/>
        <w:topLinePunct w:val="0"/>
        <w:bidi w:val="0"/>
        <w:spacing w:line="360" w:lineRule="auto"/>
        <w:rPr>
          <w:rFonts w:hint="eastAsia" w:ascii="仿宋" w:hAnsi="仿宋" w:eastAsia="仿宋" w:cs="仿宋"/>
          <w:sz w:val="28"/>
          <w:szCs w:val="28"/>
          <w:lang w:eastAsia="zh-CN"/>
        </w:rPr>
      </w:pPr>
    </w:p>
    <w:p w14:paraId="67E29CD6">
      <w:pPr>
        <w:pStyle w:val="6"/>
        <w:pageBreakBefore w:val="0"/>
        <w:wordWrap/>
        <w:topLinePunct w:val="0"/>
        <w:bidi w:val="0"/>
        <w:spacing w:line="360" w:lineRule="auto"/>
        <w:jc w:val="center"/>
        <w:rPr>
          <w:rFonts w:hint="eastAsia" w:ascii="仿宋" w:hAnsi="仿宋" w:eastAsia="仿宋" w:cs="仿宋"/>
          <w:color w:val="auto"/>
          <w:sz w:val="72"/>
          <w:szCs w:val="72"/>
          <w:lang w:val="en-US" w:eastAsia="zh-CN"/>
        </w:rPr>
      </w:pPr>
      <w:r>
        <w:rPr>
          <w:rFonts w:hint="eastAsia" w:ascii="仿宋" w:hAnsi="仿宋" w:eastAsia="仿宋" w:cs="仿宋"/>
          <w:lang w:eastAsia="zh-CN"/>
        </w:rPr>
        <w:br w:type="page"/>
      </w:r>
      <w:bookmarkEnd w:id="147"/>
      <w:bookmarkEnd w:id="148"/>
      <w:bookmarkEnd w:id="149"/>
      <w:bookmarkStart w:id="294" w:name="_Toc2100027940"/>
      <w:bookmarkStart w:id="295" w:name="_Toc300363790"/>
      <w:bookmarkStart w:id="296" w:name="_Toc1644299675"/>
      <w:bookmarkStart w:id="297" w:name="_Toc335147862_WPSOffice_Level1"/>
      <w:bookmarkStart w:id="298" w:name="_Toc1034668100"/>
      <w:bookmarkStart w:id="299" w:name="_Toc1589952972_WPSOffice_Level1"/>
      <w:bookmarkStart w:id="300" w:name="_Toc904602471"/>
      <w:bookmarkStart w:id="301" w:name="_Toc476316221"/>
      <w:bookmarkStart w:id="302" w:name="_Toc1266214712"/>
      <w:bookmarkStart w:id="303" w:name="_Toc1415346380_WPSOffice_Level1"/>
      <w:bookmarkStart w:id="304" w:name="_Toc63558279_WPSOffice_Level1"/>
      <w:bookmarkStart w:id="305" w:name="_Toc764191523_WPSOffice_Level1"/>
      <w:bookmarkStart w:id="306" w:name="_Toc981831182"/>
      <w:bookmarkStart w:id="307" w:name="_Toc1839196008_WPSOffice_Level1"/>
      <w:bookmarkStart w:id="308" w:name="_Toc2024009066"/>
      <w:bookmarkStart w:id="309" w:name="_Toc237350522_WPSOffice_Level1"/>
      <w:bookmarkStart w:id="310" w:name="_Toc310774132_WPSOffice_Level1"/>
      <w:bookmarkStart w:id="311" w:name="_Toc1340807913"/>
      <w:bookmarkStart w:id="312" w:name="_Toc140667688"/>
      <w:bookmarkStart w:id="313" w:name="_Toc839610870"/>
      <w:bookmarkStart w:id="314" w:name="_Toc308141697"/>
      <w:bookmarkStart w:id="315" w:name="_Toc21022630"/>
      <w:bookmarkStart w:id="316" w:name="_Toc6755"/>
      <w:r>
        <w:rPr>
          <w:rFonts w:hint="eastAsia" w:ascii="仿宋" w:hAnsi="仿宋" w:eastAsia="仿宋" w:cs="仿宋"/>
          <w:color w:val="auto"/>
          <w:sz w:val="36"/>
          <w:szCs w:val="36"/>
          <w:lang w:val="en-US" w:eastAsia="zh-CN"/>
        </w:rPr>
        <w:t xml:space="preserve">第四章 </w:t>
      </w:r>
      <w:r>
        <w:rPr>
          <w:rFonts w:hint="eastAsia" w:ascii="仿宋" w:hAnsi="仿宋" w:eastAsia="仿宋" w:cs="仿宋"/>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F351EE1">
      <w:pPr>
        <w:pageBreakBefore w:val="0"/>
        <w:tabs>
          <w:tab w:val="left" w:pos="1950"/>
        </w:tabs>
        <w:wordWrap/>
        <w:topLinePunct w:val="0"/>
        <w:bidi w:val="0"/>
        <w:spacing w:line="360" w:lineRule="auto"/>
        <w:jc w:val="center"/>
        <w:rPr>
          <w:rFonts w:hint="eastAsia" w:asciiTheme="majorEastAsia" w:hAnsiTheme="majorEastAsia" w:eastAsiaTheme="majorEastAsia" w:cstheme="majorEastAsia"/>
          <w:b/>
          <w:bCs/>
          <w:color w:val="auto"/>
          <w:sz w:val="52"/>
          <w:szCs w:val="52"/>
          <w:lang w:val="en" w:eastAsia="zh-CN"/>
        </w:rPr>
      </w:pPr>
      <w:r>
        <w:rPr>
          <w:rFonts w:hint="eastAsia" w:asciiTheme="majorEastAsia" w:hAnsiTheme="majorEastAsia" w:eastAsiaTheme="majorEastAsia" w:cstheme="majorEastAsia"/>
          <w:b/>
          <w:bCs/>
          <w:color w:val="auto"/>
          <w:sz w:val="52"/>
          <w:szCs w:val="52"/>
          <w:lang w:val="en" w:eastAsia="zh-CN"/>
        </w:rPr>
        <w:t>河南财经政法大学郑东校区物业服务项目</w:t>
      </w:r>
    </w:p>
    <w:p w14:paraId="610FB917">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05CC8AFB">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4D55F710">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537DA735">
      <w:pPr>
        <w:pageBreakBefore w:val="0"/>
        <w:wordWrap/>
        <w:topLinePunct w:val="0"/>
        <w:bidi w:val="0"/>
        <w:spacing w:line="360" w:lineRule="auto"/>
        <w:jc w:val="center"/>
        <w:rPr>
          <w:rFonts w:hint="eastAsia" w:ascii="宋体" w:hAnsi="宋体" w:eastAsia="宋体" w:cs="宋体"/>
          <w:b/>
          <w:bCs/>
          <w:color w:val="auto"/>
          <w:sz w:val="96"/>
          <w:szCs w:val="96"/>
          <w:lang w:eastAsia="zh-CN"/>
        </w:rPr>
      </w:pPr>
      <w:bookmarkStart w:id="317" w:name="_Toc338411508_WPSOffice_Level3"/>
      <w:r>
        <w:rPr>
          <w:rFonts w:hint="eastAsia" w:ascii="宋体" w:hAnsi="宋体" w:eastAsia="宋体" w:cs="宋体"/>
          <w:b/>
          <w:color w:val="auto"/>
          <w:sz w:val="96"/>
          <w:szCs w:val="96"/>
          <w:lang w:eastAsia="zh-CN"/>
        </w:rPr>
        <w:t>资格证明文件</w:t>
      </w:r>
      <w:bookmarkEnd w:id="317"/>
    </w:p>
    <w:p w14:paraId="01F6C3D3">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eastAsia="zh-CN"/>
        </w:rPr>
      </w:pPr>
    </w:p>
    <w:p w14:paraId="7A5172DC">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豫财招标采购-2025-1739</w:t>
      </w:r>
    </w:p>
    <w:p w14:paraId="4F19516F">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27810746">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2BFFD89A">
      <w:pPr>
        <w:pageBreakBefore w:val="0"/>
        <w:widowControl w:val="0"/>
        <w:wordWrap/>
        <w:topLinePunct w:val="0"/>
        <w:bidi w:val="0"/>
        <w:spacing w:line="360" w:lineRule="auto"/>
        <w:rPr>
          <w:rFonts w:hint="eastAsia" w:ascii="仿宋" w:hAnsi="仿宋" w:eastAsia="仿宋" w:cs="仿宋"/>
          <w:b/>
          <w:color w:val="auto"/>
          <w:sz w:val="52"/>
          <w:szCs w:val="24"/>
          <w:lang w:val="en-US" w:eastAsia="zh-CN"/>
        </w:rPr>
      </w:pPr>
    </w:p>
    <w:p w14:paraId="7009006B">
      <w:pPr>
        <w:pageBreakBefore w:val="0"/>
        <w:widowControl w:val="0"/>
        <w:wordWrap/>
        <w:topLinePunct w:val="0"/>
        <w:autoSpaceDE w:val="0"/>
        <w:autoSpaceDN w:val="0"/>
        <w:bidi w:val="0"/>
        <w:adjustRightInd w:val="0"/>
        <w:spacing w:line="360" w:lineRule="auto"/>
        <w:ind w:firstLine="1446" w:firstLineChars="400"/>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投标人（企业电子签章）：</w:t>
      </w:r>
    </w:p>
    <w:p w14:paraId="7A9855E0">
      <w:pPr>
        <w:pStyle w:val="167"/>
        <w:pageBreakBefore w:val="0"/>
        <w:wordWrap/>
        <w:topLinePunct w:val="0"/>
        <w:bidi w:val="0"/>
        <w:spacing w:line="360" w:lineRule="auto"/>
        <w:ind w:firstLine="0"/>
        <w:rPr>
          <w:rFonts w:hint="eastAsia" w:ascii="仿宋" w:hAnsi="仿宋" w:eastAsia="仿宋" w:cs="仿宋"/>
          <w:color w:val="auto"/>
          <w:sz w:val="36"/>
          <w:szCs w:val="36"/>
          <w:lang w:val="en-US" w:eastAsia="zh-CN"/>
        </w:rPr>
      </w:pPr>
    </w:p>
    <w:p w14:paraId="1F874580">
      <w:pPr>
        <w:pStyle w:val="167"/>
        <w:pageBreakBefore w:val="0"/>
        <w:wordWrap/>
        <w:topLinePunct w:val="0"/>
        <w:bidi w:val="0"/>
        <w:spacing w:line="360" w:lineRule="auto"/>
        <w:ind w:firstLine="0"/>
        <w:rPr>
          <w:rFonts w:hint="eastAsia" w:ascii="仿宋" w:hAnsi="仿宋" w:eastAsia="仿宋" w:cs="仿宋"/>
          <w:color w:val="auto"/>
          <w:lang w:eastAsia="zh-CN"/>
        </w:rPr>
      </w:pPr>
    </w:p>
    <w:p w14:paraId="175F0A23">
      <w:pPr>
        <w:pageBreakBefore w:val="0"/>
        <w:tabs>
          <w:tab w:val="left" w:pos="5580"/>
        </w:tabs>
        <w:wordWrap/>
        <w:topLinePunct w:val="0"/>
        <w:bidi w:val="0"/>
        <w:spacing w:line="360" w:lineRule="auto"/>
        <w:ind w:firstLine="480"/>
        <w:rPr>
          <w:rFonts w:hint="eastAsia" w:ascii="仿宋" w:hAnsi="仿宋" w:eastAsia="仿宋" w:cs="仿宋"/>
          <w:color w:val="auto"/>
          <w:sz w:val="28"/>
          <w:szCs w:val="28"/>
          <w:lang w:val="en-US" w:eastAsia="zh-CN"/>
        </w:rPr>
      </w:pPr>
      <w:bookmarkStart w:id="318" w:name="_Toc32436634_WPSOffice_Level3"/>
      <w:bookmarkStart w:id="319" w:name="_Toc1004915804_WPSOffice_Level3"/>
    </w:p>
    <w:p w14:paraId="63CBA2F5">
      <w:pPr>
        <w:pageBreakBefore w:val="0"/>
        <w:wordWrap/>
        <w:topLinePunct w:val="0"/>
        <w:bidi w:val="0"/>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r>
        <w:rPr>
          <w:rFonts w:hint="eastAsia" w:ascii="仿宋" w:hAnsi="仿宋" w:eastAsia="仿宋" w:cs="仿宋"/>
          <w:b/>
          <w:bCs/>
          <w:sz w:val="36"/>
          <w:szCs w:val="36"/>
          <w:lang w:val="en-US" w:eastAsia="zh-CN"/>
        </w:rPr>
        <w:t>目 录</w:t>
      </w:r>
    </w:p>
    <w:p w14:paraId="5B7AC63B">
      <w:pPr>
        <w:pageBreakBefore w:val="0"/>
        <w:tabs>
          <w:tab w:val="left" w:pos="5580"/>
        </w:tabs>
        <w:wordWrap/>
        <w:topLinePunct w:val="0"/>
        <w:bidi w:val="0"/>
        <w:spacing w:line="360" w:lineRule="auto"/>
        <w:ind w:firstLine="480"/>
        <w:rPr>
          <w:rFonts w:hint="eastAsia" w:ascii="仿宋" w:hAnsi="仿宋" w:eastAsia="仿宋" w:cs="仿宋"/>
          <w:color w:val="auto"/>
          <w:sz w:val="28"/>
          <w:szCs w:val="28"/>
          <w:lang w:val="en-US" w:eastAsia="zh-CN"/>
        </w:rPr>
      </w:pPr>
    </w:p>
    <w:bookmarkEnd w:id="318"/>
    <w:bookmarkEnd w:id="319"/>
    <w:p w14:paraId="3CFF0A7B">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0" w:name="_Toc561764264_WPSOffice_Level2"/>
      <w:r>
        <w:rPr>
          <w:rFonts w:hint="eastAsia" w:ascii="仿宋" w:hAnsi="仿宋" w:eastAsia="仿宋" w:cs="仿宋"/>
          <w:color w:val="auto"/>
          <w:kern w:val="0"/>
          <w:sz w:val="28"/>
          <w:szCs w:val="28"/>
          <w:lang w:val="en-US" w:eastAsia="zh-CN"/>
        </w:rPr>
        <w:t>一、</w:t>
      </w:r>
      <w:r>
        <w:rPr>
          <w:rFonts w:hint="eastAsia" w:ascii="仿宋" w:hAnsi="仿宋" w:eastAsia="仿宋" w:cs="仿宋"/>
          <w:color w:val="auto"/>
          <w:kern w:val="0"/>
          <w:sz w:val="28"/>
          <w:szCs w:val="28"/>
          <w:lang w:eastAsia="zh-CN"/>
        </w:rPr>
        <w:t>法人或者其他组织的营业执照等证明文件或自然人的身份证明</w:t>
      </w:r>
      <w:bookmarkEnd w:id="320"/>
    </w:p>
    <w:p w14:paraId="012C6C26">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1" w:name="_Toc371659587_WPSOffice_Level3"/>
      <w:bookmarkStart w:id="322" w:name="_Toc317745705_WPSOffice_Level2"/>
      <w:bookmarkStart w:id="323" w:name="_Toc835682095_WPSOffice_Level3"/>
      <w:r>
        <w:rPr>
          <w:rFonts w:hint="eastAsia" w:ascii="仿宋" w:hAnsi="仿宋" w:eastAsia="仿宋" w:cs="仿宋"/>
          <w:color w:val="auto"/>
          <w:kern w:val="0"/>
          <w:sz w:val="28"/>
          <w:szCs w:val="28"/>
          <w:lang w:val="en-US" w:eastAsia="zh-CN"/>
        </w:rPr>
        <w:t>二、</w:t>
      </w:r>
      <w:r>
        <w:rPr>
          <w:rFonts w:hint="eastAsia" w:ascii="仿宋" w:hAnsi="仿宋" w:eastAsia="仿宋" w:cs="仿宋"/>
          <w:color w:val="auto"/>
          <w:kern w:val="0"/>
          <w:sz w:val="28"/>
          <w:szCs w:val="28"/>
          <w:lang w:eastAsia="zh-CN"/>
        </w:rPr>
        <w:t>具有良好的商业信誉和健全的财务会计制度</w:t>
      </w:r>
      <w:bookmarkEnd w:id="321"/>
      <w:bookmarkEnd w:id="322"/>
      <w:bookmarkEnd w:id="323"/>
    </w:p>
    <w:p w14:paraId="64B76B74">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4" w:name="_Toc1150235750_WPSOffice_Level3"/>
      <w:bookmarkStart w:id="325" w:name="_Toc1104501183_WPSOffice_Level3"/>
      <w:bookmarkStart w:id="326" w:name="_Toc294801548_WPSOffice_Level2"/>
      <w:r>
        <w:rPr>
          <w:rFonts w:hint="eastAsia" w:ascii="仿宋" w:hAnsi="仿宋" w:eastAsia="仿宋" w:cs="仿宋"/>
          <w:color w:val="auto"/>
          <w:kern w:val="0"/>
          <w:sz w:val="28"/>
          <w:szCs w:val="28"/>
          <w:lang w:val="en-US" w:eastAsia="zh-CN"/>
        </w:rPr>
        <w:t>三、</w:t>
      </w:r>
      <w:r>
        <w:rPr>
          <w:rFonts w:hint="eastAsia" w:ascii="仿宋" w:hAnsi="仿宋" w:eastAsia="仿宋" w:cs="仿宋"/>
          <w:color w:val="auto"/>
          <w:kern w:val="0"/>
          <w:sz w:val="28"/>
          <w:szCs w:val="28"/>
          <w:lang w:eastAsia="zh-CN"/>
        </w:rPr>
        <w:t>依法缴纳税收和社会保障资金的良好记录</w:t>
      </w:r>
      <w:bookmarkEnd w:id="324"/>
      <w:bookmarkEnd w:id="325"/>
      <w:bookmarkEnd w:id="326"/>
    </w:p>
    <w:p w14:paraId="7F12C104">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27" w:name="_Toc765241243_WPSOffice_Level3"/>
      <w:bookmarkStart w:id="328" w:name="_Toc568308316_WPSOffice_Level3"/>
      <w:bookmarkStart w:id="329" w:name="_Toc749118665_WPSOffice_Level2"/>
      <w:bookmarkStart w:id="330" w:name="_Toc2065680076_WPSOffice_Level3"/>
      <w:bookmarkStart w:id="331" w:name="_Toc281235268_WPSOffice_Level3"/>
      <w:r>
        <w:rPr>
          <w:rFonts w:hint="eastAsia" w:ascii="仿宋" w:hAnsi="仿宋" w:eastAsia="仿宋" w:cs="仿宋"/>
          <w:color w:val="auto"/>
          <w:kern w:val="0"/>
          <w:sz w:val="28"/>
          <w:szCs w:val="28"/>
          <w:lang w:val="en-US" w:eastAsia="zh-CN"/>
        </w:rPr>
        <w:t>四、</w:t>
      </w:r>
      <w:r>
        <w:rPr>
          <w:rFonts w:hint="eastAsia" w:ascii="仿宋" w:hAnsi="仿宋" w:eastAsia="仿宋" w:cs="仿宋"/>
          <w:color w:val="auto"/>
          <w:kern w:val="0"/>
          <w:sz w:val="28"/>
          <w:szCs w:val="28"/>
          <w:lang w:eastAsia="zh-CN"/>
        </w:rPr>
        <w:t>具有履行合同所必需的设备和专业技术能力</w:t>
      </w:r>
      <w:bookmarkEnd w:id="327"/>
      <w:bookmarkEnd w:id="328"/>
      <w:bookmarkEnd w:id="329"/>
    </w:p>
    <w:p w14:paraId="37274750">
      <w:pPr>
        <w:pageBreakBefore w:val="0"/>
        <w:tabs>
          <w:tab w:val="left" w:pos="5580"/>
        </w:tabs>
        <w:wordWrap/>
        <w:topLinePunct w:val="0"/>
        <w:bidi w:val="0"/>
        <w:spacing w:line="360" w:lineRule="auto"/>
        <w:ind w:firstLine="480"/>
        <w:rPr>
          <w:rFonts w:hint="eastAsia" w:ascii="仿宋" w:hAnsi="仿宋" w:eastAsia="仿宋" w:cs="仿宋"/>
          <w:color w:val="auto"/>
          <w:kern w:val="0"/>
          <w:sz w:val="28"/>
          <w:szCs w:val="28"/>
          <w:lang w:eastAsia="zh-CN"/>
        </w:rPr>
      </w:pPr>
      <w:bookmarkStart w:id="332" w:name="_Toc865995009_WPSOffice_Level2"/>
      <w:r>
        <w:rPr>
          <w:rFonts w:hint="eastAsia" w:ascii="仿宋" w:hAnsi="仿宋" w:eastAsia="仿宋" w:cs="仿宋"/>
          <w:color w:val="auto"/>
          <w:kern w:val="0"/>
          <w:sz w:val="28"/>
          <w:szCs w:val="28"/>
          <w:lang w:val="en-US" w:eastAsia="zh-CN"/>
        </w:rPr>
        <w:t>五、</w:t>
      </w:r>
      <w:r>
        <w:rPr>
          <w:rFonts w:hint="eastAsia" w:ascii="仿宋" w:hAnsi="仿宋" w:eastAsia="仿宋" w:cs="仿宋"/>
          <w:color w:val="auto"/>
          <w:kern w:val="0"/>
          <w:sz w:val="28"/>
          <w:szCs w:val="28"/>
          <w:lang w:eastAsia="zh-CN"/>
        </w:rPr>
        <w:t>参加政府采购活动前</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年内在经营活动中没有重大违法记录的</w:t>
      </w:r>
      <w:bookmarkEnd w:id="330"/>
      <w:bookmarkEnd w:id="331"/>
      <w:r>
        <w:rPr>
          <w:rFonts w:hint="eastAsia" w:ascii="仿宋" w:hAnsi="仿宋" w:eastAsia="仿宋" w:cs="仿宋"/>
          <w:color w:val="auto"/>
          <w:kern w:val="0"/>
          <w:sz w:val="28"/>
          <w:szCs w:val="28"/>
          <w:lang w:eastAsia="zh-CN"/>
        </w:rPr>
        <w:t>声明</w:t>
      </w:r>
      <w:bookmarkEnd w:id="332"/>
    </w:p>
    <w:p w14:paraId="64D471D7">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3" w:name="_Toc1395634740_WPSOffice_Level2"/>
      <w:bookmarkStart w:id="334" w:name="_Toc2005223374_WPSOffice_Level3"/>
      <w:bookmarkStart w:id="335" w:name="_Toc141596040_WPSOffice_Level3"/>
      <w:r>
        <w:rPr>
          <w:rFonts w:hint="default" w:ascii="Times New Roman" w:hAnsi="Times New Roman" w:eastAsia="仿宋_GB2312" w:cs="Times New Roman"/>
          <w:color w:val="auto"/>
          <w:kern w:val="0"/>
          <w:sz w:val="28"/>
          <w:szCs w:val="28"/>
          <w:lang w:val="en-US" w:eastAsia="zh-CN"/>
        </w:rPr>
        <w:t>六、关联关系名单</w:t>
      </w:r>
    </w:p>
    <w:p w14:paraId="456F71D9">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p>
    <w:bookmarkEnd w:id="333"/>
    <w:bookmarkEnd w:id="334"/>
    <w:bookmarkEnd w:id="335"/>
    <w:p w14:paraId="1B3684CD">
      <w:pPr>
        <w:pageBreakBefore w:val="0"/>
        <w:tabs>
          <w:tab w:val="left" w:pos="5580"/>
        </w:tabs>
        <w:wordWrap/>
        <w:topLinePunct w:val="0"/>
        <w:bidi w:val="0"/>
        <w:spacing w:line="360" w:lineRule="auto"/>
        <w:ind w:left="1" w:firstLine="658"/>
        <w:rPr>
          <w:rFonts w:hint="eastAsia" w:ascii="仿宋" w:hAnsi="仿宋" w:eastAsia="仿宋" w:cs="仿宋"/>
          <w:color w:val="auto"/>
          <w:sz w:val="28"/>
          <w:szCs w:val="28"/>
          <w:lang w:val="en-US" w:eastAsia="zh-CN"/>
        </w:rPr>
      </w:pPr>
    </w:p>
    <w:p w14:paraId="77228D95">
      <w:pPr>
        <w:pageBreakBefore w:val="0"/>
        <w:wordWrap/>
        <w:topLinePunct w:val="0"/>
        <w:bidi w:val="0"/>
        <w:spacing w:line="360" w:lineRule="auto"/>
        <w:jc w:val="left"/>
        <w:rPr>
          <w:rFonts w:hint="eastAsia" w:ascii="仿宋" w:hAnsi="仿宋" w:eastAsia="仿宋" w:cs="仿宋"/>
          <w:color w:val="auto"/>
          <w:sz w:val="28"/>
          <w:szCs w:val="28"/>
          <w:lang w:eastAsia="zh-CN"/>
        </w:rPr>
      </w:pPr>
      <w:bookmarkStart w:id="336" w:name="_Toc740001715"/>
      <w:bookmarkStart w:id="337" w:name="_Toc1666758381"/>
      <w:bookmarkStart w:id="338" w:name="_Toc442868323"/>
      <w:bookmarkStart w:id="339" w:name="_Toc1892257381_WPSOffice_Level3"/>
      <w:r>
        <w:rPr>
          <w:rFonts w:hint="eastAsia" w:ascii="仿宋" w:hAnsi="仿宋" w:eastAsia="仿宋" w:cs="仿宋"/>
          <w:b/>
          <w:bCs/>
          <w:color w:val="auto"/>
          <w:sz w:val="28"/>
          <w:szCs w:val="28"/>
          <w:lang w:eastAsia="zh-CN"/>
        </w:rPr>
        <w:br w:type="page"/>
      </w:r>
      <w:bookmarkEnd w:id="336"/>
      <w:bookmarkEnd w:id="337"/>
      <w:bookmarkEnd w:id="338"/>
      <w:bookmarkEnd w:id="339"/>
    </w:p>
    <w:p w14:paraId="6653A71A">
      <w:pPr>
        <w:keepNext/>
        <w:keepLines/>
        <w:pageBreakBefore w:val="0"/>
        <w:widowControl w:val="0"/>
        <w:wordWrap/>
        <w:topLinePunct w:val="0"/>
        <w:autoSpaceDE w:val="0"/>
        <w:autoSpaceDN w:val="0"/>
        <w:bidi w:val="0"/>
        <w:adjustRightInd w:val="0"/>
        <w:spacing w:line="360" w:lineRule="auto"/>
        <w:ind w:left="420" w:leftChars="200" w:right="420" w:rightChars="200"/>
        <w:jc w:val="center"/>
        <w:outlineLvl w:val="1"/>
        <w:rPr>
          <w:rFonts w:hint="eastAsia" w:ascii="仿宋" w:hAnsi="仿宋" w:eastAsia="仿宋" w:cs="仿宋"/>
          <w:b/>
          <w:bCs w:val="0"/>
          <w:color w:val="auto"/>
          <w:kern w:val="0"/>
          <w:sz w:val="30"/>
          <w:szCs w:val="30"/>
          <w:lang w:val="en-US" w:eastAsia="zh-CN"/>
        </w:rPr>
      </w:pPr>
      <w:bookmarkStart w:id="340" w:name="_Toc540046896"/>
      <w:bookmarkStart w:id="341" w:name="_Toc730361247"/>
      <w:bookmarkStart w:id="342" w:name="_Toc262140077"/>
      <w:bookmarkStart w:id="343" w:name="_Toc1793820901_WPSOffice_Level3"/>
      <w:bookmarkStart w:id="344" w:name="_Toc831756679"/>
      <w:bookmarkStart w:id="345" w:name="_Toc1399186289"/>
      <w:bookmarkStart w:id="346" w:name="_Toc717704405"/>
      <w:bookmarkStart w:id="347" w:name="_Toc1274130635"/>
      <w:bookmarkStart w:id="348" w:name="_Toc1950934252"/>
      <w:bookmarkStart w:id="349" w:name="_Toc1480748811"/>
      <w:bookmarkStart w:id="350" w:name="_Toc1876865389"/>
      <w:bookmarkStart w:id="351" w:name="_Toc1541909372_WPSOffice_Level3"/>
      <w:bookmarkStart w:id="352" w:name="_Toc1728315286_WPSOffice_Level2"/>
      <w:bookmarkStart w:id="353" w:name="_Toc1881529819"/>
      <w:r>
        <w:rPr>
          <w:rFonts w:hint="eastAsia" w:ascii="仿宋" w:hAnsi="仿宋" w:eastAsia="仿宋" w:cs="仿宋"/>
          <w:b/>
          <w:bCs w:val="0"/>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eastAsia" w:ascii="仿宋" w:hAnsi="仿宋" w:eastAsia="仿宋" w:cs="仿宋"/>
          <w:b/>
          <w:bCs w:val="0"/>
          <w:color w:val="auto"/>
          <w:kern w:val="0"/>
          <w:sz w:val="30"/>
          <w:szCs w:val="30"/>
          <w:lang w:val="en-US" w:eastAsia="zh-CN"/>
        </w:rPr>
        <w:t>法人或者其他组织的营业执照等证明文件或自然人的身份证明</w:t>
      </w:r>
      <w:bookmarkEnd w:id="352"/>
      <w:bookmarkEnd w:id="353"/>
    </w:p>
    <w:p w14:paraId="1E707B4F">
      <w:pPr>
        <w:pageBreakBefore w:val="0"/>
        <w:wordWrap/>
        <w:topLinePunct w:val="0"/>
        <w:bidi w:val="0"/>
        <w:spacing w:line="360" w:lineRule="auto"/>
        <w:rPr>
          <w:rFonts w:hint="eastAsia" w:ascii="仿宋" w:hAnsi="仿宋" w:eastAsia="仿宋" w:cs="仿宋"/>
          <w:color w:val="auto"/>
          <w:lang w:eastAsia="zh-CN"/>
        </w:rPr>
      </w:pPr>
    </w:p>
    <w:p w14:paraId="74D3C067">
      <w:pPr>
        <w:pStyle w:val="198"/>
        <w:pageBreakBefore w:val="0"/>
        <w:tabs>
          <w:tab w:val="left" w:pos="5580"/>
        </w:tabs>
        <w:wordWrap/>
        <w:topLinePunct w:val="0"/>
        <w:bidi w:val="0"/>
        <w:spacing w:line="360" w:lineRule="auto"/>
        <w:ind w:left="540" w:firstLine="480"/>
        <w:jc w:val="center"/>
        <w:rPr>
          <w:rFonts w:hint="eastAsia" w:ascii="仿宋" w:hAnsi="仿宋" w:eastAsia="仿宋" w:cs="仿宋"/>
          <w:b/>
          <w:bCs/>
          <w:color w:val="auto"/>
          <w:sz w:val="24"/>
          <w:szCs w:val="24"/>
        </w:rPr>
      </w:pPr>
    </w:p>
    <w:p w14:paraId="75FC04DA">
      <w:pPr>
        <w:pStyle w:val="198"/>
        <w:pageBreakBefore w:val="0"/>
        <w:tabs>
          <w:tab w:val="left" w:pos="5580"/>
        </w:tabs>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说明：1.提供有效的营业执照等证明文件原件或复印件的扫描件。</w:t>
      </w:r>
    </w:p>
    <w:p w14:paraId="06D91CA6">
      <w:pPr>
        <w:pStyle w:val="198"/>
        <w:pageBreakBefore w:val="0"/>
        <w:tabs>
          <w:tab w:val="left" w:pos="5580"/>
        </w:tabs>
        <w:wordWrap/>
        <w:topLinePunct w:val="0"/>
        <w:bidi w:val="0"/>
        <w:spacing w:line="360" w:lineRule="auto"/>
        <w:rPr>
          <w:rFonts w:hint="eastAsia" w:ascii="仿宋" w:hAnsi="仿宋" w:eastAsia="仿宋" w:cs="仿宋"/>
          <w:color w:val="auto"/>
          <w:sz w:val="28"/>
          <w:szCs w:val="28"/>
          <w:lang w:val="zh-TW"/>
        </w:rPr>
      </w:pPr>
      <w:bookmarkStart w:id="354" w:name="_Toc2081420463_WPSOffice_Level3"/>
      <w:bookmarkStart w:id="355" w:name="_Toc67715126_WPSOffice_Level3"/>
      <w:r>
        <w:rPr>
          <w:rFonts w:hint="eastAsia" w:ascii="仿宋" w:hAnsi="仿宋" w:eastAsia="仿宋" w:cs="仿宋"/>
          <w:color w:val="auto"/>
          <w:sz w:val="28"/>
          <w:szCs w:val="28"/>
          <w:lang w:val="zh-TW"/>
        </w:rPr>
        <w:t>2.投标人为自然人的，应提供身份证明的</w:t>
      </w:r>
      <w:bookmarkEnd w:id="354"/>
      <w:bookmarkEnd w:id="355"/>
      <w:r>
        <w:rPr>
          <w:rFonts w:hint="eastAsia" w:ascii="仿宋" w:hAnsi="仿宋" w:eastAsia="仿宋" w:cs="仿宋"/>
          <w:color w:val="auto"/>
          <w:sz w:val="28"/>
          <w:szCs w:val="28"/>
          <w:lang w:val="zh-TW"/>
        </w:rPr>
        <w:t>原件或复印件的扫描件。</w:t>
      </w:r>
    </w:p>
    <w:p w14:paraId="619E9CD5">
      <w:pPr>
        <w:pStyle w:val="198"/>
        <w:pageBreakBefore w:val="0"/>
        <w:tabs>
          <w:tab w:val="left" w:pos="5580"/>
        </w:tabs>
        <w:wordWrap/>
        <w:topLinePunct w:val="0"/>
        <w:bidi w:val="0"/>
        <w:spacing w:line="360" w:lineRule="auto"/>
        <w:rPr>
          <w:rFonts w:hint="eastAsia" w:ascii="仿宋" w:hAnsi="仿宋" w:eastAsia="仿宋" w:cs="仿宋"/>
          <w:color w:val="auto"/>
          <w:sz w:val="28"/>
          <w:szCs w:val="28"/>
        </w:rPr>
      </w:pPr>
      <w:bookmarkStart w:id="356" w:name="_Toc781251951_WPSOffice_Level3"/>
      <w:bookmarkStart w:id="357" w:name="_Toc1215272460_WPSOffice_Level3"/>
      <w:r>
        <w:rPr>
          <w:rFonts w:hint="eastAsia" w:ascii="仿宋" w:hAnsi="仿宋" w:eastAsia="仿宋" w:cs="仿宋"/>
          <w:color w:val="auto"/>
          <w:sz w:val="28"/>
          <w:szCs w:val="28"/>
          <w:lang w:val="zh-TW"/>
        </w:rPr>
        <w:t>3.联合体投标应提供联合体各方满足以上要求的证明文件。</w:t>
      </w:r>
      <w:bookmarkEnd w:id="356"/>
      <w:bookmarkEnd w:id="357"/>
    </w:p>
    <w:p w14:paraId="2039D99E">
      <w:pPr>
        <w:pageBreakBefore w:val="0"/>
        <w:wordWrap/>
        <w:topLinePunct w:val="0"/>
        <w:bidi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bookmarkStart w:id="358" w:name="_Toc1557063548"/>
      <w:bookmarkStart w:id="359" w:name="_Toc1215314597"/>
      <w:bookmarkStart w:id="360" w:name="_Toc868984799"/>
      <w:bookmarkStart w:id="361" w:name="_Toc1319467764"/>
      <w:bookmarkStart w:id="362" w:name="_Toc456633459_WPSOffice_Level3"/>
    </w:p>
    <w:p w14:paraId="76B24A5E">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363" w:name="_Toc937091873"/>
      <w:bookmarkStart w:id="364" w:name="_Toc130649492"/>
      <w:bookmarkStart w:id="365" w:name="_Toc507196550"/>
      <w:bookmarkStart w:id="366" w:name="_Toc1369942731_WPSOffice_Level2"/>
      <w:bookmarkStart w:id="367" w:name="_Toc600305591"/>
      <w:bookmarkStart w:id="368" w:name="_Toc370312851"/>
      <w:bookmarkStart w:id="369" w:name="_Toc1494493586"/>
      <w:bookmarkStart w:id="370" w:name="_Toc574791252"/>
      <w:r>
        <w:rPr>
          <w:rFonts w:hint="eastAsia" w:ascii="仿宋" w:hAnsi="仿宋" w:eastAsia="仿宋" w:cs="仿宋"/>
          <w:b/>
          <w:bCs w:val="0"/>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2891F76">
      <w:pPr>
        <w:pageBreakBefore w:val="0"/>
        <w:wordWrap/>
        <w:topLinePunct w:val="0"/>
        <w:bidi w:val="0"/>
        <w:spacing w:line="360" w:lineRule="auto"/>
        <w:jc w:val="center"/>
        <w:rPr>
          <w:rFonts w:hint="eastAsia" w:ascii="仿宋" w:hAnsi="仿宋" w:eastAsia="仿宋" w:cs="仿宋"/>
          <w:color w:val="auto"/>
          <w:sz w:val="28"/>
          <w:szCs w:val="28"/>
          <w:lang w:eastAsia="zh-CN"/>
        </w:rPr>
      </w:pPr>
    </w:p>
    <w:p w14:paraId="36618930">
      <w:pPr>
        <w:pageBreakBefore w:val="0"/>
        <w:wordWrap/>
        <w:topLinePunct w:val="0"/>
        <w:bidi w:val="0"/>
        <w:spacing w:line="360" w:lineRule="auto"/>
        <w:rPr>
          <w:rFonts w:hint="eastAsia" w:ascii="仿宋" w:hAnsi="仿宋" w:eastAsia="仿宋" w:cs="仿宋"/>
          <w:color w:val="auto"/>
          <w:lang w:eastAsia="zh-CN"/>
        </w:rPr>
      </w:pPr>
    </w:p>
    <w:p w14:paraId="6B4C1448">
      <w:pPr>
        <w:pageBreakBefore w:val="0"/>
        <w:tabs>
          <w:tab w:val="left" w:pos="5580"/>
        </w:tabs>
        <w:wordWrap/>
        <w:topLinePunct w:val="0"/>
        <w:bidi w:val="0"/>
        <w:spacing w:line="360" w:lineRule="auto"/>
        <w:ind w:left="1080" w:hanging="54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说明：</w:t>
      </w:r>
    </w:p>
    <w:p w14:paraId="600008DE">
      <w:pPr>
        <w:pageBreakBefore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提供投标人2024</w:t>
      </w:r>
      <w:r>
        <w:rPr>
          <w:rFonts w:hint="eastAsia"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或2025年度经审计的财务报告，要求注册会计师签字并加盖会计师印章；如到投标截止时间，投标人成立时间不足1年的，可提供银行资信证明材料。</w:t>
      </w:r>
    </w:p>
    <w:p w14:paraId="05DD906F">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val="0"/>
          <w:color w:val="auto"/>
          <w:sz w:val="30"/>
          <w:szCs w:val="30"/>
          <w:lang w:val="en-US" w:eastAsia="zh-CN"/>
        </w:rPr>
      </w:pPr>
      <w:r>
        <w:rPr>
          <w:rFonts w:hint="eastAsia" w:ascii="仿宋" w:hAnsi="仿宋" w:eastAsia="仿宋" w:cs="仿宋"/>
          <w:color w:val="auto"/>
          <w:sz w:val="24"/>
          <w:szCs w:val="24"/>
          <w:lang w:eastAsia="zh-CN"/>
        </w:rPr>
        <w:br w:type="page"/>
      </w:r>
      <w:bookmarkStart w:id="371" w:name="_Toc1968479748"/>
      <w:bookmarkStart w:id="372" w:name="_Toc1079740645"/>
      <w:bookmarkStart w:id="373" w:name="_Toc1033381818"/>
      <w:bookmarkStart w:id="374" w:name="_Toc1125237527"/>
      <w:bookmarkStart w:id="375" w:name="_Toc1656782056"/>
      <w:bookmarkStart w:id="376" w:name="_Toc968053340"/>
      <w:bookmarkStart w:id="377" w:name="_Toc509419906"/>
      <w:bookmarkStart w:id="378" w:name="_Toc1030212309"/>
      <w:bookmarkStart w:id="379" w:name="_Toc281075866"/>
      <w:bookmarkStart w:id="380" w:name="_Toc942688044_WPSOffice_Level3"/>
      <w:bookmarkStart w:id="381" w:name="_Toc1998858666"/>
      <w:bookmarkStart w:id="382" w:name="_Toc436443482"/>
      <w:bookmarkStart w:id="383" w:name="_Toc1289659840_WPSOffice_Level2"/>
      <w:bookmarkStart w:id="384" w:name="_Toc2082821673"/>
      <w:r>
        <w:rPr>
          <w:rFonts w:hint="eastAsia" w:ascii="仿宋" w:hAnsi="仿宋" w:eastAsia="仿宋" w:cs="仿宋"/>
          <w:b/>
          <w:bCs w:val="0"/>
          <w:color w:val="auto"/>
          <w:kern w:val="0"/>
          <w:sz w:val="30"/>
          <w:szCs w:val="30"/>
          <w:lang w:val="en-US" w:eastAsia="zh-CN"/>
        </w:rPr>
        <w:t>三、依法</w:t>
      </w:r>
      <w:bookmarkEnd w:id="371"/>
      <w:r>
        <w:rPr>
          <w:rFonts w:hint="eastAsia" w:ascii="仿宋" w:hAnsi="仿宋" w:eastAsia="仿宋" w:cs="仿宋"/>
          <w:b/>
          <w:bCs w:val="0"/>
          <w:color w:val="auto"/>
          <w:kern w:val="0"/>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76CC81DF">
      <w:pPr>
        <w:pStyle w:val="198"/>
        <w:pageBreakBefore w:val="0"/>
        <w:tabs>
          <w:tab w:val="left" w:pos="5580"/>
        </w:tabs>
        <w:wordWrap/>
        <w:topLinePunct w:val="0"/>
        <w:bidi w:val="0"/>
        <w:spacing w:line="360" w:lineRule="auto"/>
        <w:ind w:left="1080" w:hanging="540"/>
        <w:jc w:val="center"/>
        <w:rPr>
          <w:rFonts w:hint="eastAsia" w:ascii="仿宋" w:hAnsi="仿宋" w:eastAsia="仿宋" w:cs="仿宋"/>
          <w:b/>
          <w:bCs/>
          <w:color w:val="auto"/>
          <w:sz w:val="24"/>
          <w:szCs w:val="24"/>
        </w:rPr>
      </w:pPr>
    </w:p>
    <w:p w14:paraId="3EF64B3E">
      <w:pPr>
        <w:pStyle w:val="198"/>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说明：</w:t>
      </w:r>
    </w:p>
    <w:p w14:paraId="61A58F8D">
      <w:pPr>
        <w:pStyle w:val="198"/>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1.具有依法缴纳税收和社会保障资金的相关材料（提供自2025年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月1日以来至少一个月的纳税证明和社保缴纳证明，依法免税或不需要缴纳社会保障资金的，应提供相应文件证明其依法免税或不需要缴纳）。</w:t>
      </w:r>
    </w:p>
    <w:p w14:paraId="575B0F62">
      <w:pPr>
        <w:pStyle w:val="198"/>
        <w:pageBreakBefore w:val="0"/>
        <w:tabs>
          <w:tab w:val="left" w:pos="5580"/>
        </w:tabs>
        <w:wordWrap/>
        <w:topLinePunct w:val="0"/>
        <w:bidi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2.如果是联合体投标，联合体各方均需提供相关材料。</w:t>
      </w:r>
    </w:p>
    <w:p w14:paraId="273440F3">
      <w:pPr>
        <w:pageBreakBefore w:val="0"/>
        <w:tabs>
          <w:tab w:val="left" w:pos="5580"/>
        </w:tabs>
        <w:wordWrap/>
        <w:topLinePunct w:val="0"/>
        <w:bidi w:val="0"/>
        <w:spacing w:line="360" w:lineRule="auto"/>
        <w:rPr>
          <w:rFonts w:hint="eastAsia" w:ascii="仿宋" w:hAnsi="仿宋" w:eastAsia="仿宋" w:cs="仿宋"/>
          <w:color w:val="auto"/>
          <w:sz w:val="28"/>
          <w:szCs w:val="28"/>
          <w:lang w:val="en-US" w:eastAsia="zh-CN"/>
        </w:rPr>
      </w:pPr>
    </w:p>
    <w:p w14:paraId="53F0DA8B">
      <w:pPr>
        <w:pStyle w:val="198"/>
        <w:pageBreakBefore w:val="0"/>
        <w:tabs>
          <w:tab w:val="left" w:pos="5580"/>
        </w:tabs>
        <w:wordWrap/>
        <w:topLinePunct w:val="0"/>
        <w:bidi w:val="0"/>
        <w:spacing w:line="360" w:lineRule="auto"/>
        <w:ind w:left="840"/>
        <w:rPr>
          <w:rFonts w:hint="eastAsia" w:ascii="仿宋" w:hAnsi="仿宋" w:eastAsia="仿宋" w:cs="仿宋"/>
          <w:color w:val="auto"/>
          <w:sz w:val="24"/>
          <w:szCs w:val="24"/>
        </w:rPr>
      </w:pPr>
    </w:p>
    <w:p w14:paraId="58FB1429">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val="0"/>
          <w:color w:val="auto"/>
          <w:sz w:val="30"/>
          <w:szCs w:val="30"/>
          <w:lang w:val="en-US" w:eastAsia="zh-CN"/>
        </w:rPr>
      </w:pPr>
      <w:r>
        <w:rPr>
          <w:rFonts w:hint="eastAsia" w:ascii="仿宋" w:hAnsi="仿宋" w:eastAsia="仿宋" w:cs="仿宋"/>
          <w:color w:val="auto"/>
          <w:sz w:val="24"/>
          <w:szCs w:val="24"/>
          <w:lang w:eastAsia="zh-CN"/>
        </w:rPr>
        <w:br w:type="page"/>
      </w:r>
      <w:bookmarkStart w:id="385" w:name="_Toc62113572_WPSOffice_Level2"/>
      <w:bookmarkStart w:id="386" w:name="_Toc1152943509"/>
      <w:bookmarkStart w:id="387" w:name="_Toc933477298"/>
      <w:bookmarkStart w:id="388" w:name="_Toc29306536"/>
      <w:bookmarkStart w:id="389" w:name="_Toc1555857921"/>
      <w:bookmarkStart w:id="390" w:name="_Toc937672964"/>
      <w:bookmarkStart w:id="391" w:name="_Toc173874035"/>
      <w:bookmarkStart w:id="392" w:name="_Toc642483276"/>
      <w:bookmarkStart w:id="393" w:name="_Toc1191619766"/>
      <w:bookmarkStart w:id="394" w:name="_Toc231434114"/>
      <w:bookmarkStart w:id="395" w:name="_Toc634123008"/>
      <w:bookmarkStart w:id="396" w:name="_Toc148345819_WPSOffice_Level3"/>
      <w:bookmarkStart w:id="397" w:name="_Toc883013156"/>
      <w:bookmarkStart w:id="398" w:name="_Toc1387518291"/>
      <w:r>
        <w:rPr>
          <w:rFonts w:hint="eastAsia" w:ascii="仿宋" w:hAnsi="仿宋" w:eastAsia="仿宋" w:cs="仿宋"/>
          <w:b/>
          <w:bCs w:val="0"/>
          <w:color w:val="auto"/>
          <w:kern w:val="0"/>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8A2BF5A">
      <w:pPr>
        <w:pageBreakBefore w:val="0"/>
        <w:wordWrap/>
        <w:topLinePunct w:val="0"/>
        <w:bidi w:val="0"/>
        <w:spacing w:line="360" w:lineRule="auto"/>
        <w:jc w:val="left"/>
        <w:rPr>
          <w:rFonts w:hint="eastAsia" w:ascii="仿宋" w:hAnsi="仿宋" w:eastAsia="仿宋" w:cs="仿宋"/>
          <w:color w:val="auto"/>
          <w:kern w:val="2"/>
          <w:sz w:val="28"/>
          <w:szCs w:val="28"/>
          <w:lang w:val="en-US" w:eastAsia="zh-CN" w:bidi="ar-SA"/>
        </w:rPr>
      </w:pPr>
    </w:p>
    <w:p w14:paraId="31E68DA3">
      <w:pPr>
        <w:pageBreakBefore w:val="0"/>
        <w:wordWrap/>
        <w:topLinePunct w:val="0"/>
        <w:bidi w:val="0"/>
        <w:spacing w:line="360" w:lineRule="auto"/>
        <w:jc w:val="left"/>
        <w:rPr>
          <w:rFonts w:hint="eastAsia" w:ascii="仿宋" w:hAnsi="仿宋" w:eastAsia="仿宋" w:cs="仿宋"/>
          <w:color w:val="auto"/>
          <w:kern w:val="2"/>
          <w:sz w:val="28"/>
          <w:szCs w:val="28"/>
          <w:lang w:val="en" w:eastAsia="zh-CN" w:bidi="ar-SA"/>
        </w:rPr>
      </w:pPr>
      <w:r>
        <w:rPr>
          <w:rFonts w:hint="eastAsia" w:ascii="仿宋" w:hAnsi="仿宋" w:eastAsia="仿宋" w:cs="仿宋"/>
          <w:color w:val="auto"/>
          <w:kern w:val="2"/>
          <w:sz w:val="28"/>
          <w:szCs w:val="28"/>
          <w:lang w:val="en-US" w:eastAsia="zh-CN" w:bidi="ar-SA"/>
        </w:rPr>
        <w:t>致：</w:t>
      </w:r>
      <w:r>
        <w:rPr>
          <w:rFonts w:hint="eastAsia" w:ascii="仿宋" w:hAnsi="仿宋" w:eastAsia="仿宋" w:cs="仿宋"/>
          <w:color w:val="auto"/>
          <w:kern w:val="2"/>
          <w:sz w:val="28"/>
          <w:szCs w:val="28"/>
          <w:u w:val="single"/>
          <w:lang w:val="en" w:eastAsia="zh-CN" w:bidi="ar-SA"/>
        </w:rPr>
        <w:t>河南财经政法大学</w:t>
      </w:r>
    </w:p>
    <w:p w14:paraId="64B1B2E2">
      <w:pPr>
        <w:pageBreakBefore w:val="0"/>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我（单位/本人，以下统称我单位）自愿参加采购项目编号为</w:t>
      </w:r>
      <w:r>
        <w:rPr>
          <w:rFonts w:hint="eastAsia" w:ascii="仿宋" w:hAnsi="仿宋" w:eastAsia="仿宋" w:cs="仿宋"/>
          <w:color w:val="auto"/>
          <w:kern w:val="2"/>
          <w:sz w:val="28"/>
          <w:szCs w:val="28"/>
          <w:u w:val="single"/>
          <w:lang w:val="en" w:eastAsia="zh-CN" w:bidi="ar-SA"/>
        </w:rPr>
        <w:t>豫财招标采购-2025-1739</w:t>
      </w:r>
      <w:r>
        <w:rPr>
          <w:rFonts w:hint="eastAsia" w:ascii="仿宋" w:hAnsi="仿宋" w:eastAsia="仿宋" w:cs="仿宋"/>
          <w:color w:val="auto"/>
          <w:kern w:val="2"/>
          <w:sz w:val="28"/>
          <w:szCs w:val="28"/>
          <w:u w:val="none"/>
          <w:lang w:val="en-US" w:eastAsia="zh-CN" w:bidi="ar-SA"/>
        </w:rPr>
        <w:t>的</w:t>
      </w:r>
      <w:r>
        <w:rPr>
          <w:rFonts w:hint="eastAsia" w:ascii="仿宋" w:hAnsi="仿宋" w:eastAsia="仿宋" w:cs="仿宋"/>
          <w:color w:val="auto"/>
          <w:kern w:val="2"/>
          <w:sz w:val="28"/>
          <w:szCs w:val="28"/>
          <w:u w:val="single"/>
          <w:lang w:val="en" w:eastAsia="zh-CN" w:bidi="ar-SA"/>
        </w:rPr>
        <w:t>河南财经政法大学郑东校区物业服务项目</w:t>
      </w:r>
      <w:r>
        <w:rPr>
          <w:rFonts w:hint="eastAsia" w:ascii="仿宋" w:hAnsi="仿宋" w:eastAsia="仿宋" w:cs="仿宋"/>
          <w:color w:val="auto"/>
          <w:kern w:val="2"/>
          <w:sz w:val="28"/>
          <w:szCs w:val="28"/>
          <w:lang w:val="en-US" w:eastAsia="zh-CN" w:bidi="ar-SA"/>
        </w:rPr>
        <w:t>的投标,并做出如下承诺：</w:t>
      </w:r>
    </w:p>
    <w:p w14:paraId="27A9BB72">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我方具有履行合同所必需的设备和专业技术能力。</w:t>
      </w:r>
    </w:p>
    <w:p w14:paraId="7B861048">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我方保证上述信息的真实和准确，并愿意承担因我方就此弄虚作假所引起的一切法律后果。</w:t>
      </w:r>
    </w:p>
    <w:p w14:paraId="3C35D526">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特此声明！</w:t>
      </w:r>
    </w:p>
    <w:p w14:paraId="41B91301">
      <w:pPr>
        <w:pageBreakBefore w:val="0"/>
        <w:tabs>
          <w:tab w:val="left" w:pos="6300"/>
        </w:tabs>
        <w:wordWrap/>
        <w:topLinePunct w:val="0"/>
        <w:bidi w:val="0"/>
        <w:snapToGrid w:val="0"/>
        <w:spacing w:line="360" w:lineRule="auto"/>
        <w:ind w:firstLine="277" w:firstLineChars="99"/>
        <w:rPr>
          <w:rFonts w:hint="eastAsia" w:ascii="仿宋" w:hAnsi="仿宋" w:eastAsia="仿宋" w:cs="仿宋"/>
          <w:color w:val="auto"/>
          <w:kern w:val="2"/>
          <w:sz w:val="28"/>
          <w:szCs w:val="28"/>
          <w:lang w:val="en-US" w:eastAsia="zh-CN" w:bidi="ar-SA"/>
        </w:rPr>
      </w:pPr>
    </w:p>
    <w:p w14:paraId="292C1849">
      <w:pPr>
        <w:pageBreakBefore w:val="0"/>
        <w:wordWrap/>
        <w:topLinePunct w:val="0"/>
        <w:bidi w:val="0"/>
        <w:spacing w:line="360" w:lineRule="auto"/>
        <w:ind w:firstLine="3640" w:firstLineChars="1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投标人（企业电子签章）：</w:t>
      </w:r>
    </w:p>
    <w:p w14:paraId="7CAB1E88">
      <w:pPr>
        <w:pageBreakBefore w:val="0"/>
        <w:wordWrap/>
        <w:topLinePunct w:val="0"/>
        <w:bidi w:val="0"/>
        <w:spacing w:line="360" w:lineRule="auto"/>
        <w:ind w:firstLine="420"/>
        <w:jc w:val="right"/>
        <w:rPr>
          <w:rFonts w:hint="eastAsia" w:ascii="仿宋" w:hAnsi="仿宋" w:eastAsia="仿宋" w:cs="仿宋"/>
          <w:color w:val="auto"/>
          <w:sz w:val="28"/>
          <w:szCs w:val="28"/>
          <w:lang w:eastAsia="zh-CN"/>
        </w:rPr>
      </w:pPr>
    </w:p>
    <w:p w14:paraId="4C7FD2F2">
      <w:pPr>
        <w:pageBreakBefore w:val="0"/>
        <w:wordWrap/>
        <w:topLinePunct w:val="0"/>
        <w:bidi w:val="0"/>
        <w:spacing w:line="360" w:lineRule="auto"/>
        <w:ind w:firstLine="556"/>
        <w:jc w:val="right"/>
        <w:rPr>
          <w:rFonts w:hint="eastAsia" w:ascii="仿宋" w:hAnsi="仿宋" w:eastAsia="仿宋" w:cs="仿宋"/>
          <w:color w:val="auto"/>
          <w:sz w:val="28"/>
          <w:szCs w:val="28"/>
          <w:lang w:eastAsia="zh-CN"/>
        </w:rPr>
      </w:pPr>
    </w:p>
    <w:p w14:paraId="1D596790">
      <w:pPr>
        <w:pageBreakBefore w:val="0"/>
        <w:tabs>
          <w:tab w:val="left" w:pos="6300"/>
        </w:tabs>
        <w:wordWrap/>
        <w:topLinePunct w:val="0"/>
        <w:bidi w:val="0"/>
        <w:snapToGrid w:val="0"/>
        <w:spacing w:line="360" w:lineRule="auto"/>
        <w:ind w:firstLine="277" w:firstLineChars="99"/>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年</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月</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日</w:t>
      </w:r>
    </w:p>
    <w:p w14:paraId="07459D52">
      <w:pPr>
        <w:pStyle w:val="198"/>
        <w:pageBreakBefore w:val="0"/>
        <w:tabs>
          <w:tab w:val="left" w:pos="5580"/>
        </w:tabs>
        <w:wordWrap/>
        <w:topLinePunct w:val="0"/>
        <w:bidi w:val="0"/>
        <w:spacing w:line="360" w:lineRule="auto"/>
        <w:ind w:left="1080" w:hanging="540"/>
        <w:jc w:val="center"/>
        <w:rPr>
          <w:rFonts w:hint="eastAsia" w:ascii="仿宋" w:hAnsi="仿宋" w:eastAsia="仿宋" w:cs="仿宋"/>
          <w:b/>
          <w:bCs/>
          <w:color w:val="auto"/>
          <w:sz w:val="24"/>
          <w:szCs w:val="24"/>
        </w:rPr>
      </w:pPr>
    </w:p>
    <w:p w14:paraId="78D59157">
      <w:pPr>
        <w:keepNext/>
        <w:keepLines/>
        <w:pageBreakBefore w:val="0"/>
        <w:widowControl w:val="0"/>
        <w:wordWrap/>
        <w:topLinePunct w:val="0"/>
        <w:autoSpaceDE w:val="0"/>
        <w:autoSpaceDN w:val="0"/>
        <w:bidi w:val="0"/>
        <w:adjustRightInd w:val="0"/>
        <w:spacing w:line="360" w:lineRule="auto"/>
        <w:jc w:val="center"/>
        <w:outlineLvl w:val="1"/>
        <w:rPr>
          <w:rFonts w:hint="eastAsia" w:ascii="仿宋" w:hAnsi="仿宋" w:eastAsia="仿宋" w:cs="仿宋"/>
          <w:b/>
          <w:bCs w:val="0"/>
          <w:color w:val="auto"/>
          <w:kern w:val="0"/>
          <w:sz w:val="30"/>
          <w:szCs w:val="30"/>
          <w:lang w:val="en-US" w:eastAsia="zh-CN"/>
        </w:rPr>
      </w:pPr>
      <w:bookmarkStart w:id="399" w:name="_Toc897167010_WPSOffice_Level3"/>
      <w:bookmarkStart w:id="400" w:name="_Toc1835514155"/>
      <w:bookmarkStart w:id="401" w:name="_Toc1989881438"/>
      <w:bookmarkStart w:id="402" w:name="_Toc1625950936"/>
      <w:bookmarkStart w:id="403" w:name="_Toc2058865505"/>
      <w:bookmarkStart w:id="404" w:name="_Toc2139213640"/>
      <w:bookmarkStart w:id="405" w:name="_Toc15280674"/>
      <w:bookmarkStart w:id="406" w:name="_Toc288533216"/>
      <w:bookmarkStart w:id="407" w:name="_Toc933578141"/>
      <w:bookmarkStart w:id="408" w:name="_Toc1206650936"/>
      <w:bookmarkStart w:id="409" w:name="_Toc242026376"/>
      <w:bookmarkStart w:id="410" w:name="_Toc683069219"/>
      <w:bookmarkStart w:id="411" w:name="_Toc1596637222"/>
      <w:bookmarkStart w:id="412" w:name="_Toc438911815_WPSOffice_Level2"/>
      <w:r>
        <w:rPr>
          <w:rFonts w:hint="eastAsia" w:ascii="仿宋" w:hAnsi="仿宋" w:eastAsia="仿宋" w:cs="仿宋"/>
          <w:b w:val="0"/>
          <w:color w:val="auto"/>
          <w:sz w:val="30"/>
          <w:szCs w:val="30"/>
          <w:lang w:val="en-US" w:eastAsia="zh-CN"/>
        </w:rPr>
        <w:br w:type="page"/>
      </w:r>
      <w:r>
        <w:rPr>
          <w:rFonts w:hint="eastAsia" w:ascii="仿宋" w:hAnsi="仿宋" w:eastAsia="仿宋" w:cs="仿宋"/>
          <w:b/>
          <w:bCs w:val="0"/>
          <w:color w:val="auto"/>
          <w:kern w:val="0"/>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hint="eastAsia" w:ascii="仿宋" w:hAnsi="仿宋" w:eastAsia="仿宋" w:cs="仿宋"/>
          <w:b/>
          <w:bCs w:val="0"/>
          <w:color w:val="auto"/>
          <w:kern w:val="0"/>
          <w:sz w:val="30"/>
          <w:szCs w:val="30"/>
          <w:lang w:val="en-US" w:eastAsia="zh-CN"/>
        </w:rPr>
        <w:t>声明</w:t>
      </w:r>
      <w:bookmarkEnd w:id="405"/>
      <w:bookmarkEnd w:id="406"/>
      <w:bookmarkEnd w:id="407"/>
      <w:bookmarkEnd w:id="408"/>
      <w:bookmarkEnd w:id="409"/>
      <w:bookmarkEnd w:id="410"/>
      <w:bookmarkEnd w:id="411"/>
      <w:bookmarkEnd w:id="412"/>
    </w:p>
    <w:p w14:paraId="3918D04D">
      <w:pPr>
        <w:pageBreakBefore w:val="0"/>
        <w:wordWrap/>
        <w:topLinePunct w:val="0"/>
        <w:bidi w:val="0"/>
        <w:spacing w:line="360" w:lineRule="auto"/>
        <w:jc w:val="left"/>
        <w:rPr>
          <w:rFonts w:hint="eastAsia" w:ascii="仿宋" w:hAnsi="仿宋" w:eastAsia="仿宋" w:cs="仿宋"/>
          <w:color w:val="auto"/>
          <w:kern w:val="2"/>
          <w:sz w:val="28"/>
          <w:szCs w:val="28"/>
          <w:lang w:val="en" w:eastAsia="zh-CN" w:bidi="ar-SA"/>
        </w:rPr>
      </w:pPr>
      <w:r>
        <w:rPr>
          <w:rFonts w:hint="eastAsia" w:ascii="仿宋" w:hAnsi="仿宋" w:eastAsia="仿宋" w:cs="仿宋"/>
          <w:color w:val="auto"/>
          <w:kern w:val="2"/>
          <w:sz w:val="28"/>
          <w:szCs w:val="28"/>
          <w:lang w:val="en-US" w:eastAsia="zh-CN" w:bidi="ar-SA"/>
        </w:rPr>
        <w:t>致：</w:t>
      </w:r>
      <w:r>
        <w:rPr>
          <w:rFonts w:hint="eastAsia" w:ascii="仿宋" w:hAnsi="仿宋" w:eastAsia="仿宋" w:cs="仿宋"/>
          <w:color w:val="auto"/>
          <w:kern w:val="2"/>
          <w:sz w:val="28"/>
          <w:szCs w:val="28"/>
          <w:u w:val="single"/>
          <w:lang w:val="en" w:eastAsia="zh-CN" w:bidi="ar-SA"/>
        </w:rPr>
        <w:t>河南财经政法大学</w:t>
      </w:r>
    </w:p>
    <w:p w14:paraId="51303D94">
      <w:pPr>
        <w:pageBreakBefore w:val="0"/>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我（单位/本人，以下统称我单位）自愿参加采购项目编号为</w:t>
      </w:r>
      <w:r>
        <w:rPr>
          <w:rFonts w:hint="eastAsia" w:ascii="仿宋" w:hAnsi="仿宋" w:eastAsia="仿宋" w:cs="仿宋"/>
          <w:color w:val="auto"/>
          <w:kern w:val="2"/>
          <w:sz w:val="28"/>
          <w:szCs w:val="28"/>
          <w:u w:val="single"/>
          <w:lang w:val="en" w:eastAsia="zh-CN" w:bidi="ar-SA"/>
        </w:rPr>
        <w:t>豫财招标采购-2025-1739</w:t>
      </w:r>
      <w:r>
        <w:rPr>
          <w:rFonts w:hint="eastAsia" w:ascii="仿宋" w:hAnsi="仿宋" w:eastAsia="仿宋" w:cs="仿宋"/>
          <w:color w:val="auto"/>
          <w:kern w:val="2"/>
          <w:sz w:val="28"/>
          <w:szCs w:val="28"/>
          <w:u w:val="none"/>
          <w:lang w:val="en-US" w:eastAsia="zh-CN" w:bidi="ar-SA"/>
        </w:rPr>
        <w:t>的</w:t>
      </w:r>
      <w:r>
        <w:rPr>
          <w:rFonts w:hint="eastAsia" w:ascii="仿宋" w:hAnsi="仿宋" w:eastAsia="仿宋" w:cs="仿宋"/>
          <w:color w:val="auto"/>
          <w:kern w:val="2"/>
          <w:sz w:val="28"/>
          <w:szCs w:val="28"/>
          <w:u w:val="single"/>
          <w:lang w:val="en" w:eastAsia="zh-CN" w:bidi="ar-SA"/>
        </w:rPr>
        <w:t>河南财经政法大学郑东校区物业服务项目</w:t>
      </w:r>
      <w:r>
        <w:rPr>
          <w:rFonts w:hint="eastAsia" w:ascii="仿宋" w:hAnsi="仿宋" w:eastAsia="仿宋" w:cs="仿宋"/>
          <w:color w:val="auto"/>
          <w:kern w:val="2"/>
          <w:sz w:val="28"/>
          <w:szCs w:val="28"/>
          <w:lang w:val="en-US" w:eastAsia="zh-CN" w:bidi="ar-SA"/>
        </w:rPr>
        <w:t>的投标,并做出如下承诺：</w:t>
      </w:r>
    </w:p>
    <w:p w14:paraId="70329C4B">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我公司信誉良好，参加政府采购活动前三年内，在经营活动中没有重大违法记录。在“信用中国”网站（www.creditchina.gov.cn）未被列入失信被执行人、重大税收违法失信主体名单；在“中国政府采购网” （www.ccgp.gov.cn）未被列入政府采购严重违法失信行为记录名单。</w:t>
      </w:r>
    </w:p>
    <w:p w14:paraId="5069AA38">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我方保证上述信息的真实和准确，并愿意承担因我方就此弄虚作假所引起的一切法律后果。</w:t>
      </w:r>
    </w:p>
    <w:p w14:paraId="5E8F08EF">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特此声明！</w:t>
      </w:r>
    </w:p>
    <w:p w14:paraId="6850DCEB">
      <w:pPr>
        <w:pageBreakBefore w:val="0"/>
        <w:wordWrap/>
        <w:topLinePunct w:val="0"/>
        <w:bidi w:val="0"/>
        <w:spacing w:line="360" w:lineRule="auto"/>
        <w:ind w:firstLine="560" w:firstLineChars="200"/>
        <w:rPr>
          <w:rFonts w:hint="eastAsia" w:ascii="仿宋" w:hAnsi="仿宋" w:eastAsia="仿宋" w:cs="仿宋"/>
          <w:sz w:val="28"/>
          <w:szCs w:val="28"/>
          <w:lang w:eastAsia="zh-CN"/>
        </w:rPr>
      </w:pPr>
    </w:p>
    <w:p w14:paraId="13C8AA24">
      <w:pPr>
        <w:pageBreakBefore w:val="0"/>
        <w:wordWrap/>
        <w:topLinePunct w:val="0"/>
        <w:bidi w:val="0"/>
        <w:spacing w:line="360" w:lineRule="auto"/>
        <w:ind w:firstLine="3640" w:firstLineChars="1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投标人（企业电子签章）：</w:t>
      </w:r>
    </w:p>
    <w:p w14:paraId="3C08ADF1">
      <w:pPr>
        <w:pageBreakBefore w:val="0"/>
        <w:wordWrap/>
        <w:topLinePunct w:val="0"/>
        <w:bidi w:val="0"/>
        <w:spacing w:line="360" w:lineRule="auto"/>
        <w:ind w:firstLine="420"/>
        <w:jc w:val="right"/>
        <w:rPr>
          <w:rFonts w:hint="eastAsia" w:ascii="仿宋" w:hAnsi="仿宋" w:eastAsia="仿宋" w:cs="仿宋"/>
          <w:color w:val="auto"/>
          <w:sz w:val="28"/>
          <w:szCs w:val="28"/>
          <w:lang w:eastAsia="zh-CN"/>
        </w:rPr>
      </w:pPr>
    </w:p>
    <w:p w14:paraId="38EA5574">
      <w:pPr>
        <w:pageBreakBefore w:val="0"/>
        <w:wordWrap/>
        <w:topLinePunct w:val="0"/>
        <w:bidi w:val="0"/>
        <w:spacing w:line="360" w:lineRule="auto"/>
        <w:ind w:firstLine="556"/>
        <w:jc w:val="right"/>
        <w:rPr>
          <w:rFonts w:hint="eastAsia" w:ascii="仿宋" w:hAnsi="仿宋" w:eastAsia="仿宋" w:cs="仿宋"/>
          <w:color w:val="auto"/>
          <w:sz w:val="28"/>
          <w:szCs w:val="28"/>
          <w:lang w:eastAsia="zh-CN"/>
        </w:rPr>
      </w:pPr>
    </w:p>
    <w:p w14:paraId="1CD80365">
      <w:pPr>
        <w:pageBreakBefore w:val="0"/>
        <w:tabs>
          <w:tab w:val="left" w:pos="6300"/>
        </w:tabs>
        <w:wordWrap/>
        <w:topLinePunct w:val="0"/>
        <w:bidi w:val="0"/>
        <w:snapToGrid w:val="0"/>
        <w:spacing w:line="360" w:lineRule="auto"/>
        <w:ind w:firstLine="277" w:firstLineChars="99"/>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年</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月</w:t>
      </w:r>
      <w:r>
        <w:rPr>
          <w:rFonts w:hint="eastAsia" w:ascii="仿宋" w:hAnsi="仿宋" w:eastAsia="仿宋" w:cs="仿宋"/>
          <w:color w:val="auto"/>
          <w:kern w:val="2"/>
          <w:sz w:val="28"/>
          <w:szCs w:val="28"/>
          <w:u w:val="single"/>
          <w:lang w:val="en" w:eastAsia="zh-CN" w:bidi="ar-SA"/>
        </w:rPr>
        <w:t xml:space="preserve">   </w:t>
      </w:r>
      <w:r>
        <w:rPr>
          <w:rFonts w:hint="eastAsia" w:ascii="仿宋" w:hAnsi="仿宋" w:eastAsia="仿宋" w:cs="仿宋"/>
          <w:color w:val="auto"/>
          <w:kern w:val="2"/>
          <w:sz w:val="28"/>
          <w:szCs w:val="28"/>
          <w:lang w:val="en-US" w:eastAsia="zh-CN" w:bidi="ar-SA"/>
        </w:rPr>
        <w:t>日</w:t>
      </w:r>
    </w:p>
    <w:p w14:paraId="224B86A6">
      <w:pPr>
        <w:pageBreakBefore w:val="0"/>
        <w:wordWrap/>
        <w:topLinePunct w:val="0"/>
        <w:bidi w:val="0"/>
        <w:spacing w:line="360" w:lineRule="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说明：</w:t>
      </w:r>
    </w:p>
    <w:p w14:paraId="051F74E4">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TW" w:eastAsia="zh-CN" w:bidi="ar-SA"/>
        </w:rPr>
        <w:t>投标人应按照相关法规规定如实做出说明。</w:t>
      </w:r>
    </w:p>
    <w:p w14:paraId="78ED0277">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eastAsia" w:ascii="仿宋" w:hAnsi="仿宋" w:eastAsia="仿宋" w:cs="仿宋"/>
          <w:color w:val="auto"/>
          <w:kern w:val="2"/>
          <w:sz w:val="28"/>
          <w:szCs w:val="28"/>
          <w:lang w:val="zh-TW" w:eastAsia="zh-CN" w:bidi="ar-SA"/>
        </w:rPr>
        <w:t>．按照招标文件的规定加盖企业电子签章（自然人投标的无需盖章，需要签字）。</w:t>
      </w:r>
    </w:p>
    <w:p w14:paraId="7EBE4B5A">
      <w:pPr>
        <w:pageBreakBefore w:val="0"/>
        <w:wordWrap/>
        <w:topLinePunct w:val="0"/>
        <w:bidi w:val="0"/>
        <w:spacing w:line="360" w:lineRule="auto"/>
        <w:ind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TW" w:eastAsia="zh-CN" w:bidi="ar-SA"/>
        </w:rPr>
        <w:t>如果是联合体投标，联合体各方均需提供上述证明。</w:t>
      </w:r>
    </w:p>
    <w:p w14:paraId="359E32A2">
      <w:pPr>
        <w:rPr>
          <w:rFonts w:hint="eastAsia" w:ascii="仿宋" w:hAnsi="仿宋" w:eastAsia="仿宋" w:cs="仿宋"/>
          <w:b/>
          <w:bCs w:val="0"/>
          <w:color w:val="auto"/>
          <w:kern w:val="0"/>
          <w:sz w:val="30"/>
          <w:szCs w:val="30"/>
          <w:lang w:val="en-US" w:eastAsia="zh-CN"/>
        </w:rPr>
      </w:pPr>
      <w:bookmarkStart w:id="413" w:name="_Toc2114111239"/>
      <w:bookmarkStart w:id="414" w:name="_Toc1846317276"/>
      <w:bookmarkStart w:id="415" w:name="_Toc1184533414"/>
      <w:bookmarkStart w:id="416" w:name="_Toc1192645811_WPSOffice_Level2"/>
      <w:bookmarkStart w:id="417" w:name="_Toc1323492610"/>
      <w:bookmarkStart w:id="418" w:name="_Toc1528107318"/>
      <w:bookmarkStart w:id="419" w:name="_Toc1497172548"/>
      <w:bookmarkStart w:id="420" w:name="_Toc1439922488"/>
      <w:bookmarkStart w:id="421" w:name="_Toc98955996"/>
      <w:bookmarkStart w:id="422" w:name="_Toc2035786603"/>
      <w:bookmarkStart w:id="423" w:name="_Toc2024909766"/>
      <w:bookmarkStart w:id="424" w:name="_Toc1999724387"/>
      <w:bookmarkStart w:id="425" w:name="_Toc1462517689"/>
      <w:bookmarkStart w:id="426" w:name="_Toc1412570441"/>
      <w:bookmarkStart w:id="427" w:name="_Toc1938095027"/>
      <w:bookmarkStart w:id="428" w:name="_Toc658606622"/>
      <w:bookmarkStart w:id="429" w:name="_Toc497708290_WPSOffice_Level2"/>
      <w:bookmarkStart w:id="430" w:name="_Toc474620139"/>
      <w:bookmarkStart w:id="431" w:name="_Toc934702901"/>
      <w:bookmarkStart w:id="432" w:name="_Toc2073666225_WPSOffice_Level3"/>
      <w:bookmarkStart w:id="433" w:name="_Toc320661673"/>
      <w:bookmarkStart w:id="434" w:name="_Toc1267967234"/>
      <w:bookmarkStart w:id="435" w:name="_Toc996756161"/>
      <w:bookmarkStart w:id="436" w:name="_Toc1237822054"/>
      <w:bookmarkStart w:id="437" w:name="_Toc1310640400"/>
      <w:bookmarkStart w:id="438" w:name="_Toc1614236527"/>
      <w:r>
        <w:rPr>
          <w:rFonts w:hint="eastAsia" w:ascii="仿宋" w:hAnsi="仿宋" w:eastAsia="仿宋" w:cs="仿宋"/>
          <w:b/>
          <w:bCs w:val="0"/>
          <w:color w:val="auto"/>
          <w:kern w:val="0"/>
          <w:sz w:val="30"/>
          <w:szCs w:val="30"/>
          <w:lang w:val="en-US" w:eastAsia="zh-CN"/>
        </w:rPr>
        <w:br w:type="page"/>
      </w:r>
    </w:p>
    <w:p w14:paraId="7B54CCA7">
      <w:pPr>
        <w:pStyle w:val="100"/>
        <w:spacing w:line="360" w:lineRule="auto"/>
        <w:jc w:val="center"/>
        <w:outlineLvl w:val="1"/>
        <w:rPr>
          <w:rFonts w:hint="default" w:ascii="Times New Roman" w:hAnsi="Times New Roman" w:eastAsia="方正小标宋_GBK" w:cs="Times New Roman"/>
          <w:b w:val="0"/>
          <w:bCs/>
          <w:color w:val="auto"/>
          <w:kern w:val="0"/>
          <w:sz w:val="30"/>
          <w:szCs w:val="30"/>
          <w:vertAlign w:val="baseline"/>
          <w:lang w:val="en-US" w:eastAsia="zh-CN" w:bidi="ar-SA"/>
        </w:rPr>
      </w:pPr>
      <w:r>
        <w:rPr>
          <w:rFonts w:hint="default" w:ascii="Times New Roman" w:hAnsi="Times New Roman" w:eastAsia="方正小标宋_GBK" w:cs="Times New Roman"/>
          <w:b w:val="0"/>
          <w:bCs/>
          <w:color w:val="auto"/>
          <w:kern w:val="0"/>
          <w:sz w:val="30"/>
          <w:szCs w:val="30"/>
          <w:lang w:val="en-US" w:eastAsia="zh-CN" w:bidi="ar-SA"/>
        </w:rPr>
        <w:t>六、</w:t>
      </w:r>
      <w:r>
        <w:rPr>
          <w:rFonts w:hint="eastAsia" w:ascii="Times New Roman" w:hAnsi="Times New Roman" w:eastAsia="方正小标宋_GBK" w:cs="Times New Roman"/>
          <w:b w:val="0"/>
          <w:bCs/>
          <w:color w:val="auto"/>
          <w:kern w:val="0"/>
          <w:sz w:val="30"/>
          <w:szCs w:val="30"/>
          <w:lang w:val="en-US" w:eastAsia="zh-CN" w:bidi="ar-SA"/>
        </w:rPr>
        <w:t>关联关系名单</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207"/>
        <w:gridCol w:w="2132"/>
        <w:gridCol w:w="2132"/>
      </w:tblGrid>
      <w:tr w14:paraId="2BB5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344B8D12">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序号</w:t>
            </w:r>
          </w:p>
        </w:tc>
        <w:tc>
          <w:tcPr>
            <w:tcW w:w="3207" w:type="dxa"/>
            <w:noWrap w:val="0"/>
            <w:vAlign w:val="top"/>
          </w:tcPr>
          <w:p w14:paraId="4FC8FA92">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单位名称</w:t>
            </w:r>
          </w:p>
        </w:tc>
        <w:tc>
          <w:tcPr>
            <w:tcW w:w="2132" w:type="dxa"/>
            <w:noWrap w:val="0"/>
            <w:vAlign w:val="top"/>
          </w:tcPr>
          <w:p w14:paraId="40D834CA">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关系类型</w:t>
            </w:r>
          </w:p>
        </w:tc>
        <w:tc>
          <w:tcPr>
            <w:tcW w:w="2132" w:type="dxa"/>
            <w:noWrap w:val="0"/>
            <w:vAlign w:val="top"/>
          </w:tcPr>
          <w:p w14:paraId="1942C394">
            <w:pPr>
              <w:pStyle w:val="100"/>
              <w:spacing w:line="360" w:lineRule="auto"/>
              <w:jc w:val="center"/>
              <w:outlineLvl w:val="1"/>
              <w:rPr>
                <w:rFonts w:hint="default" w:ascii="仿宋_GB2312" w:hAnsi="仿宋_GB2312" w:eastAsia="仿宋_GB2312" w:cs="仿宋_GB2312"/>
                <w:b w:val="0"/>
                <w:bCs/>
                <w:color w:val="auto"/>
                <w:kern w:val="0"/>
                <w:sz w:val="28"/>
                <w:szCs w:val="28"/>
                <w:vertAlign w:val="baseline"/>
                <w:lang w:val="en-US" w:eastAsia="zh-CN" w:bidi="ar-SA"/>
              </w:rPr>
            </w:pPr>
            <w:r>
              <w:rPr>
                <w:rFonts w:hint="eastAsia" w:ascii="仿宋_GB2312" w:hAnsi="仿宋_GB2312" w:eastAsia="仿宋_GB2312" w:cs="仿宋_GB2312"/>
                <w:b w:val="0"/>
                <w:bCs/>
                <w:color w:val="auto"/>
                <w:kern w:val="0"/>
                <w:sz w:val="28"/>
                <w:szCs w:val="28"/>
                <w:vertAlign w:val="baseline"/>
                <w:lang w:val="en-US" w:eastAsia="zh-CN" w:bidi="ar-SA"/>
              </w:rPr>
              <w:t>备注</w:t>
            </w:r>
          </w:p>
        </w:tc>
      </w:tr>
      <w:tr w14:paraId="051D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531B6233">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63F1FE6D">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7FA6C617">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16941316">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r w14:paraId="51B4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61F9B6BD">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2E8DC58B">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3069DC3C">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258B29AB">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r w14:paraId="447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top"/>
          </w:tcPr>
          <w:p w14:paraId="31A1BC11">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3207" w:type="dxa"/>
            <w:noWrap w:val="0"/>
            <w:vAlign w:val="top"/>
          </w:tcPr>
          <w:p w14:paraId="48EA00CD">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6D976F47">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c>
          <w:tcPr>
            <w:tcW w:w="2132" w:type="dxa"/>
            <w:noWrap w:val="0"/>
            <w:vAlign w:val="top"/>
          </w:tcPr>
          <w:p w14:paraId="43F493E2">
            <w:pPr>
              <w:pStyle w:val="100"/>
              <w:spacing w:line="360" w:lineRule="auto"/>
              <w:jc w:val="center"/>
              <w:outlineLvl w:val="1"/>
              <w:rPr>
                <w:rFonts w:hint="eastAsia" w:ascii="仿宋_GB2312" w:hAnsi="仿宋_GB2312" w:eastAsia="仿宋_GB2312" w:cs="仿宋_GB2312"/>
                <w:b w:val="0"/>
                <w:bCs/>
                <w:color w:val="auto"/>
                <w:kern w:val="0"/>
                <w:sz w:val="28"/>
                <w:szCs w:val="28"/>
                <w:vertAlign w:val="baseline"/>
                <w:lang w:val="en-US" w:eastAsia="zh-CN" w:bidi="ar-SA"/>
              </w:rPr>
            </w:pPr>
          </w:p>
        </w:tc>
      </w:tr>
    </w:tbl>
    <w:p w14:paraId="6CE9557A">
      <w:pPr>
        <w:pStyle w:val="100"/>
        <w:spacing w:line="360" w:lineRule="auto"/>
        <w:jc w:val="center"/>
        <w:outlineLvl w:val="9"/>
        <w:rPr>
          <w:rFonts w:hint="default" w:ascii="Times New Roman" w:hAnsi="Times New Roman" w:eastAsia="方正小标宋_GBK" w:cs="Times New Roman"/>
          <w:b w:val="0"/>
          <w:bCs/>
          <w:color w:val="auto"/>
          <w:kern w:val="0"/>
          <w:sz w:val="30"/>
          <w:szCs w:val="30"/>
          <w:lang w:val="en-US" w:eastAsia="zh-CN" w:bidi="ar-SA"/>
        </w:rPr>
      </w:pPr>
    </w:p>
    <w:p w14:paraId="226AD5C4">
      <w:pPr>
        <w:pStyle w:val="100"/>
        <w:rPr>
          <w:rFonts w:hint="default" w:ascii="Times New Roman" w:hAnsi="Times New Roman" w:eastAsia="仿宋_GB2312" w:cs="Times New Roman"/>
          <w:color w:val="auto"/>
          <w:kern w:val="2"/>
          <w:sz w:val="28"/>
          <w:szCs w:val="28"/>
          <w:lang w:val="en-US" w:eastAsia="zh-CN"/>
        </w:rPr>
      </w:pPr>
    </w:p>
    <w:p w14:paraId="6DDAC0EA">
      <w:pPr>
        <w:pStyle w:val="100"/>
        <w:rPr>
          <w:rFonts w:hint="default" w:ascii="Times New Roman" w:hAnsi="Times New Roman" w:cs="Times New Roman"/>
          <w:color w:val="auto"/>
          <w:sz w:val="28"/>
          <w:szCs w:val="28"/>
          <w:lang w:val="en-US" w:eastAsia="zh-CN"/>
        </w:rPr>
      </w:pPr>
    </w:p>
    <w:p w14:paraId="32CC80E7">
      <w:pPr>
        <w:pStyle w:val="100"/>
        <w:rPr>
          <w:rFonts w:hint="default" w:ascii="Times New Roman" w:hAnsi="Times New Roman" w:cs="Times New Roman"/>
          <w:color w:val="auto"/>
          <w:sz w:val="28"/>
          <w:szCs w:val="28"/>
          <w:lang w:eastAsia="zh-CN"/>
        </w:rPr>
      </w:pPr>
    </w:p>
    <w:p w14:paraId="2ACEFE11">
      <w:pPr>
        <w:pStyle w:val="100"/>
        <w:rPr>
          <w:rFonts w:hint="default" w:ascii="Times New Roman" w:hAnsi="Times New Roman" w:cs="Times New Roman"/>
          <w:color w:val="auto"/>
          <w:sz w:val="28"/>
          <w:szCs w:val="28"/>
          <w:lang w:eastAsia="zh-CN"/>
        </w:rPr>
      </w:pPr>
    </w:p>
    <w:p w14:paraId="6E66CFA7">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71199EE1">
      <w:pPr>
        <w:spacing w:before="100" w:after="100" w:line="360" w:lineRule="auto"/>
        <w:jc w:val="left"/>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color w:val="auto"/>
          <w:kern w:val="0"/>
          <w:sz w:val="28"/>
          <w:szCs w:val="28"/>
          <w:lang w:eastAsia="zh-CN"/>
        </w:rPr>
        <w:t>说明：</w:t>
      </w:r>
    </w:p>
    <w:p w14:paraId="20B7ECB7">
      <w:pPr>
        <w:pStyle w:val="198"/>
        <w:tabs>
          <w:tab w:val="left" w:pos="5580"/>
        </w:tabs>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单位负责人为同一人或者存在直接控股、管理关系的不同供应商，不得参加同一合同项下的政府采购活动。</w:t>
      </w:r>
    </w:p>
    <w:p w14:paraId="573C53B0">
      <w:pPr>
        <w:pStyle w:val="198"/>
        <w:tabs>
          <w:tab w:val="left" w:pos="5580"/>
        </w:tabs>
        <w:spacing w:line="360" w:lineRule="auto"/>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eastAsia="zh-CN"/>
        </w:rPr>
        <w:t>投标人须如实说明与本单位存在如下关系的单位名单并写明关系类型：单位负责人为同一人或者存在直接控股、管理关系。</w:t>
      </w:r>
    </w:p>
    <w:p w14:paraId="216BA3BE">
      <w:pPr>
        <w:pStyle w:val="198"/>
        <w:tabs>
          <w:tab w:val="left" w:pos="5580"/>
        </w:tabs>
        <w:spacing w:line="360" w:lineRule="auto"/>
        <w:ind w:firstLine="560" w:firstLineChars="200"/>
        <w:rPr>
          <w:rFonts w:hint="eastAsia" w:ascii="仿宋" w:hAnsi="仿宋" w:eastAsia="仿宋" w:cs="仿宋"/>
          <w:color w:val="auto"/>
          <w:kern w:val="0"/>
          <w:sz w:val="28"/>
          <w:szCs w:val="28"/>
          <w:u w:val="single"/>
          <w:lang w:val="en-US" w:eastAsia="zh-CN"/>
        </w:rPr>
      </w:pPr>
      <w:r>
        <w:rPr>
          <w:rFonts w:hint="eastAsia" w:ascii="Times New Roman" w:hAnsi="Times New Roman" w:eastAsia="仿宋_GB2312" w:cs="Times New Roman"/>
          <w:color w:val="auto"/>
          <w:sz w:val="28"/>
          <w:szCs w:val="28"/>
          <w:lang w:val="en-US" w:eastAsia="zh-CN"/>
        </w:rPr>
        <w:t>3.投标人虚假说明的，后果自负。</w:t>
      </w:r>
      <w:r>
        <w:rPr>
          <w:rFonts w:hint="eastAsia" w:ascii="仿宋" w:hAnsi="仿宋" w:eastAsia="仿宋" w:cs="仿宋"/>
          <w:color w:val="auto"/>
          <w:kern w:val="0"/>
          <w:sz w:val="28"/>
          <w:szCs w:val="28"/>
          <w:u w:val="single"/>
          <w:lang w:val="en-US" w:eastAsia="zh-CN"/>
        </w:rPr>
        <w:br w:type="page"/>
      </w:r>
    </w:p>
    <w:p w14:paraId="2044B0C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val="en-US" w:eastAsia="zh-CN"/>
        </w:rPr>
        <w:t>七、</w:t>
      </w:r>
      <w:bookmarkEnd w:id="413"/>
      <w:bookmarkEnd w:id="414"/>
      <w:bookmarkEnd w:id="415"/>
      <w:bookmarkEnd w:id="416"/>
      <w:bookmarkEnd w:id="417"/>
      <w:bookmarkEnd w:id="418"/>
      <w:bookmarkEnd w:id="419"/>
      <w:bookmarkEnd w:id="420"/>
      <w:bookmarkEnd w:id="421"/>
      <w:bookmarkEnd w:id="422"/>
      <w:bookmarkEnd w:id="423"/>
      <w:bookmarkEnd w:id="424"/>
      <w:r>
        <w:rPr>
          <w:rFonts w:hint="eastAsia" w:ascii="仿宋" w:hAnsi="仿宋" w:eastAsia="仿宋" w:cs="仿宋"/>
          <w:b/>
          <w:bCs w:val="0"/>
          <w:color w:val="auto"/>
          <w:kern w:val="0"/>
          <w:sz w:val="30"/>
          <w:szCs w:val="30"/>
          <w:lang w:val="en-US" w:eastAsia="zh-CN"/>
        </w:rPr>
        <w:t>其他资格证明文件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423CF59">
      <w:pPr>
        <w:keepNext w:val="0"/>
        <w:keepLines w:val="0"/>
        <w:pageBreakBefore w:val="0"/>
        <w:widowControl/>
        <w:kinsoku/>
        <w:wordWrap/>
        <w:overflowPunct/>
        <w:topLinePunct w:val="0"/>
        <w:autoSpaceDE/>
        <w:autoSpaceDN/>
        <w:bidi w:val="0"/>
        <w:adjustRightInd/>
        <w:snapToGrid/>
        <w:spacing w:line="360" w:lineRule="auto"/>
        <w:ind w:left="1080" w:hanging="540"/>
        <w:jc w:val="center"/>
        <w:textAlignment w:val="auto"/>
        <w:rPr>
          <w:rFonts w:hint="eastAsia" w:ascii="仿宋" w:hAnsi="仿宋" w:eastAsia="仿宋" w:cs="仿宋"/>
          <w:b/>
          <w:bCs/>
          <w:color w:val="auto"/>
          <w:sz w:val="24"/>
          <w:szCs w:val="24"/>
          <w:lang w:val="en-US" w:eastAsia="zh-CN"/>
        </w:rPr>
      </w:pPr>
    </w:p>
    <w:p w14:paraId="48FC3A38">
      <w:pPr>
        <w:keepNext w:val="0"/>
        <w:keepLines w:val="0"/>
        <w:pageBreakBefore w:val="0"/>
        <w:widowControl/>
        <w:kinsoku/>
        <w:wordWrap/>
        <w:overflowPunct/>
        <w:topLinePunct w:val="0"/>
        <w:autoSpaceDE/>
        <w:autoSpaceDN/>
        <w:bidi w:val="0"/>
        <w:adjustRightInd/>
        <w:snapToGrid/>
        <w:spacing w:line="360" w:lineRule="auto"/>
        <w:ind w:left="1080" w:hanging="540"/>
        <w:jc w:val="center"/>
        <w:textAlignment w:val="auto"/>
        <w:rPr>
          <w:rFonts w:hint="eastAsia" w:ascii="仿宋" w:hAnsi="仿宋" w:eastAsia="仿宋" w:cs="仿宋"/>
          <w:b/>
          <w:bCs/>
          <w:color w:val="auto"/>
          <w:sz w:val="24"/>
          <w:szCs w:val="24"/>
          <w:lang w:val="en-US" w:eastAsia="zh-CN"/>
        </w:rPr>
      </w:pPr>
    </w:p>
    <w:p w14:paraId="04E42C8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说明：1.应提供的其他资格证明文件。</w:t>
      </w:r>
    </w:p>
    <w:p w14:paraId="4596AAC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2.原件或复印件的扫描件上应加盖企业电子签章（自然人投标的无需盖章，需要签字）。</w:t>
      </w:r>
    </w:p>
    <w:p w14:paraId="5AD9ED3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3.如果是联合体投标，联合体各方需提供的满足招标文件要求的其他资格证明文件。</w:t>
      </w:r>
    </w:p>
    <w:p w14:paraId="18F1175C">
      <w:pPr>
        <w:pStyle w:val="6"/>
        <w:pageBreakBefore w:val="0"/>
        <w:wordWrap/>
        <w:topLinePunct w:val="0"/>
        <w:bidi w:val="0"/>
        <w:spacing w:line="360" w:lineRule="auto"/>
        <w:jc w:val="center"/>
        <w:rPr>
          <w:rFonts w:hint="eastAsia" w:ascii="仿宋" w:hAnsi="仿宋" w:eastAsia="仿宋" w:cs="仿宋"/>
          <w:color w:val="auto"/>
          <w:sz w:val="36"/>
          <w:szCs w:val="36"/>
          <w:lang w:eastAsia="zh-CN"/>
        </w:rPr>
      </w:pPr>
      <w:r>
        <w:rPr>
          <w:rFonts w:hint="eastAsia" w:ascii="仿宋" w:hAnsi="仿宋" w:eastAsia="仿宋" w:cs="仿宋"/>
          <w:color w:val="auto"/>
          <w:sz w:val="24"/>
          <w:szCs w:val="24"/>
          <w:lang w:val="en-US" w:eastAsia="zh-CN"/>
        </w:rPr>
        <w:br w:type="page"/>
      </w:r>
      <w:bookmarkStart w:id="439" w:name="_Toc1264393349_WPSOffice_Level2"/>
      <w:bookmarkStart w:id="440" w:name="_Toc744081619"/>
      <w:bookmarkStart w:id="441" w:name="_Toc1093923690_WPSOffice_Level2"/>
      <w:bookmarkStart w:id="442" w:name="_Toc1580344845_WPSOffice_Level2"/>
      <w:bookmarkStart w:id="443" w:name="_Toc897589225"/>
      <w:bookmarkStart w:id="444" w:name="_Toc136706314"/>
      <w:bookmarkStart w:id="445" w:name="_Toc973283021"/>
      <w:bookmarkStart w:id="446" w:name="_Toc6422905"/>
      <w:bookmarkStart w:id="447" w:name="_Toc1368632420_WPSOffice_Level2"/>
      <w:bookmarkStart w:id="448" w:name="_Toc1893653595_WPSOffice_Level1"/>
      <w:bookmarkStart w:id="449" w:name="_Toc1378165390"/>
      <w:bookmarkStart w:id="450" w:name="_Toc12934"/>
      <w:bookmarkStart w:id="451" w:name="_Toc943266062"/>
      <w:bookmarkStart w:id="452" w:name="_Toc465615493"/>
      <w:bookmarkStart w:id="453" w:name="_Toc1360926389"/>
      <w:bookmarkStart w:id="454" w:name="_Toc288862645"/>
      <w:bookmarkStart w:id="455" w:name="_Toc1017563642"/>
      <w:bookmarkStart w:id="456" w:name="_Toc377236415"/>
      <w:bookmarkStart w:id="457" w:name="_Toc1731438942"/>
      <w:bookmarkStart w:id="458" w:name="_Toc797524663"/>
      <w:r>
        <w:rPr>
          <w:rFonts w:hint="eastAsia" w:ascii="仿宋" w:hAnsi="仿宋" w:eastAsia="仿宋" w:cs="仿宋"/>
          <w:color w:val="auto"/>
          <w:sz w:val="36"/>
          <w:szCs w:val="36"/>
          <w:lang w:eastAsia="zh-CN"/>
        </w:rPr>
        <w:t>第五章 投标文件</w:t>
      </w:r>
      <w:bookmarkEnd w:id="439"/>
      <w:bookmarkEnd w:id="440"/>
      <w:bookmarkEnd w:id="441"/>
      <w:bookmarkEnd w:id="442"/>
      <w:bookmarkEnd w:id="443"/>
      <w:bookmarkEnd w:id="444"/>
      <w:bookmarkEnd w:id="445"/>
      <w:bookmarkEnd w:id="446"/>
      <w:bookmarkEnd w:id="447"/>
      <w:r>
        <w:rPr>
          <w:rFonts w:hint="eastAsia" w:ascii="仿宋" w:hAnsi="仿宋" w:eastAsia="仿宋" w:cs="仿宋"/>
          <w:color w:val="auto"/>
          <w:sz w:val="36"/>
          <w:szCs w:val="36"/>
          <w:lang w:eastAsia="zh-CN"/>
        </w:rPr>
        <w:t>格式</w:t>
      </w:r>
      <w:bookmarkEnd w:id="448"/>
      <w:bookmarkEnd w:id="449"/>
      <w:bookmarkEnd w:id="450"/>
      <w:bookmarkEnd w:id="451"/>
      <w:bookmarkEnd w:id="452"/>
      <w:bookmarkEnd w:id="453"/>
      <w:bookmarkEnd w:id="454"/>
      <w:bookmarkEnd w:id="455"/>
      <w:bookmarkEnd w:id="456"/>
      <w:bookmarkEnd w:id="457"/>
      <w:bookmarkEnd w:id="458"/>
    </w:p>
    <w:p w14:paraId="1046ACB5">
      <w:pPr>
        <w:pageBreakBefore w:val="0"/>
        <w:wordWrap/>
        <w:topLinePunct w:val="0"/>
        <w:bidi w:val="0"/>
        <w:spacing w:line="360" w:lineRule="auto"/>
        <w:ind w:left="1080" w:hanging="540"/>
        <w:jc w:val="center"/>
        <w:rPr>
          <w:rFonts w:hint="eastAsia" w:ascii="仿宋" w:hAnsi="仿宋" w:eastAsia="仿宋" w:cs="仿宋"/>
          <w:color w:val="auto"/>
          <w:sz w:val="24"/>
          <w:szCs w:val="24"/>
          <w:lang w:val="en-US" w:eastAsia="zh-CN"/>
        </w:rPr>
      </w:pPr>
    </w:p>
    <w:p w14:paraId="27581EE4">
      <w:pPr>
        <w:pageBreakBefore w:val="0"/>
        <w:tabs>
          <w:tab w:val="left" w:pos="1950"/>
        </w:tabs>
        <w:wordWrap/>
        <w:topLinePunct w:val="0"/>
        <w:bidi w:val="0"/>
        <w:spacing w:line="360" w:lineRule="auto"/>
        <w:jc w:val="center"/>
        <w:rPr>
          <w:rFonts w:hint="eastAsia" w:ascii="仿宋" w:hAnsi="仿宋" w:eastAsia="仿宋" w:cs="仿宋"/>
          <w:b/>
          <w:bCs/>
          <w:color w:val="auto"/>
          <w:sz w:val="72"/>
          <w:szCs w:val="72"/>
          <w:u w:val="single"/>
          <w:lang w:val="en-US" w:eastAsia="zh-CN"/>
        </w:rPr>
      </w:pPr>
      <w:r>
        <w:rPr>
          <w:rFonts w:hint="eastAsia" w:ascii="宋体" w:hAnsi="宋体" w:eastAsia="宋体" w:cs="宋体"/>
          <w:b/>
          <w:bCs/>
          <w:color w:val="auto"/>
          <w:sz w:val="52"/>
          <w:szCs w:val="52"/>
          <w:lang w:val="en" w:eastAsia="zh-CN"/>
        </w:rPr>
        <w:t>河南财经政法大学郑东校区物业服务项目</w:t>
      </w:r>
    </w:p>
    <w:p w14:paraId="68A744B3">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7864487C">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7DAE2E13">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61B7F19E">
      <w:pPr>
        <w:pageBreakBefore w:val="0"/>
        <w:tabs>
          <w:tab w:val="left" w:pos="1950"/>
        </w:tabs>
        <w:wordWrap/>
        <w:topLinePunct w:val="0"/>
        <w:bidi w:val="0"/>
        <w:spacing w:line="360" w:lineRule="auto"/>
        <w:jc w:val="left"/>
        <w:rPr>
          <w:rFonts w:hint="eastAsia" w:ascii="仿宋" w:hAnsi="仿宋" w:eastAsia="仿宋" w:cs="仿宋"/>
          <w:b/>
          <w:bCs/>
          <w:color w:val="auto"/>
          <w:lang w:val="en-US" w:eastAsia="zh-CN"/>
        </w:rPr>
      </w:pPr>
    </w:p>
    <w:p w14:paraId="4A3DC9AE">
      <w:pPr>
        <w:pageBreakBefore w:val="0"/>
        <w:tabs>
          <w:tab w:val="left" w:pos="1950"/>
        </w:tabs>
        <w:wordWrap/>
        <w:topLinePunct w:val="0"/>
        <w:bidi w:val="0"/>
        <w:spacing w:line="360" w:lineRule="auto"/>
        <w:jc w:val="left"/>
        <w:rPr>
          <w:rFonts w:hint="eastAsia" w:ascii="宋体" w:hAnsi="宋体" w:eastAsia="宋体" w:cs="宋体"/>
          <w:b/>
          <w:bCs/>
          <w:color w:val="auto"/>
          <w:lang w:val="en-US" w:eastAsia="zh-CN"/>
        </w:rPr>
      </w:pPr>
    </w:p>
    <w:p w14:paraId="267DCB7D">
      <w:pPr>
        <w:pageBreakBefore w:val="0"/>
        <w:wordWrap/>
        <w:topLinePunct w:val="0"/>
        <w:bidi w:val="0"/>
        <w:spacing w:line="360" w:lineRule="auto"/>
        <w:jc w:val="center"/>
        <w:rPr>
          <w:rFonts w:hint="eastAsia" w:ascii="宋体" w:hAnsi="宋体" w:eastAsia="宋体" w:cs="宋体"/>
          <w:b/>
          <w:bCs/>
          <w:color w:val="auto"/>
          <w:sz w:val="96"/>
          <w:szCs w:val="96"/>
          <w:lang w:eastAsia="zh-CN"/>
        </w:rPr>
      </w:pPr>
      <w:bookmarkStart w:id="459" w:name="_Toc1256968457_WPSOffice_Level3"/>
      <w:r>
        <w:rPr>
          <w:rFonts w:hint="eastAsia" w:ascii="宋体" w:hAnsi="宋体" w:eastAsia="宋体" w:cs="宋体"/>
          <w:b/>
          <w:color w:val="auto"/>
          <w:sz w:val="96"/>
          <w:szCs w:val="96"/>
          <w:lang w:eastAsia="zh-CN"/>
        </w:rPr>
        <w:t>投标文件</w:t>
      </w:r>
      <w:bookmarkEnd w:id="459"/>
    </w:p>
    <w:p w14:paraId="4DDF8E0B">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eastAsia="zh-CN"/>
        </w:rPr>
      </w:pPr>
    </w:p>
    <w:p w14:paraId="37382C2D">
      <w:pPr>
        <w:pageBreakBefore w:val="0"/>
        <w:widowControl w:val="0"/>
        <w:tabs>
          <w:tab w:val="left" w:pos="1950"/>
        </w:tabs>
        <w:wordWrap/>
        <w:topLinePunct w:val="0"/>
        <w:bidi w:val="0"/>
        <w:spacing w:line="360" w:lineRule="auto"/>
        <w:jc w:val="center"/>
        <w:rPr>
          <w:rFonts w:hint="eastAsia" w:ascii="宋体" w:hAnsi="宋体" w:eastAsia="宋体" w:cs="宋体"/>
          <w:b/>
          <w:color w:val="auto"/>
          <w:sz w:val="36"/>
          <w:szCs w:val="36"/>
          <w:lang w:val="en" w:eastAsia="zh-CN"/>
        </w:rPr>
      </w:pPr>
      <w:r>
        <w:rPr>
          <w:rFonts w:hint="eastAsia"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豫财招标采购-2025-1739</w:t>
      </w:r>
    </w:p>
    <w:p w14:paraId="4B237606">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1AF13CB2">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1BD1D0F3">
      <w:pPr>
        <w:pageBreakBefore w:val="0"/>
        <w:widowControl w:val="0"/>
        <w:wordWrap/>
        <w:topLinePunct w:val="0"/>
        <w:bidi w:val="0"/>
        <w:spacing w:line="360" w:lineRule="auto"/>
        <w:ind w:left="1080" w:leftChars="257" w:hanging="540"/>
        <w:rPr>
          <w:rFonts w:hint="eastAsia" w:ascii="仿宋" w:hAnsi="仿宋" w:eastAsia="仿宋" w:cs="仿宋"/>
          <w:b/>
          <w:color w:val="auto"/>
          <w:sz w:val="28"/>
          <w:szCs w:val="24"/>
          <w:lang w:val="en-US" w:eastAsia="zh-CN"/>
        </w:rPr>
      </w:pPr>
    </w:p>
    <w:p w14:paraId="249AF29F">
      <w:pPr>
        <w:pStyle w:val="2"/>
        <w:pageBreakBefore w:val="0"/>
        <w:wordWrap/>
        <w:topLinePunct w:val="0"/>
        <w:bidi w:val="0"/>
        <w:spacing w:line="360" w:lineRule="auto"/>
        <w:rPr>
          <w:rFonts w:hint="eastAsia" w:ascii="仿宋" w:hAnsi="仿宋" w:eastAsia="仿宋" w:cs="仿宋"/>
        </w:rPr>
      </w:pPr>
    </w:p>
    <w:p w14:paraId="2192193C">
      <w:pPr>
        <w:pageBreakBefore w:val="0"/>
        <w:widowControl w:val="0"/>
        <w:wordWrap/>
        <w:topLinePunct w:val="0"/>
        <w:autoSpaceDE w:val="0"/>
        <w:autoSpaceDN w:val="0"/>
        <w:bidi w:val="0"/>
        <w:adjustRightInd w:val="0"/>
        <w:spacing w:line="360" w:lineRule="auto"/>
        <w:ind w:firstLine="1084" w:firstLineChars="300"/>
        <w:rPr>
          <w:rFonts w:hint="eastAsia" w:ascii="仿宋" w:hAnsi="仿宋" w:eastAsia="仿宋" w:cs="仿宋"/>
          <w:color w:val="auto"/>
          <w:sz w:val="36"/>
          <w:szCs w:val="36"/>
          <w:lang w:val="en-US" w:eastAsia="zh-CN"/>
        </w:rPr>
      </w:pPr>
      <w:r>
        <w:rPr>
          <w:rFonts w:hint="eastAsia" w:ascii="仿宋" w:hAnsi="仿宋" w:eastAsia="仿宋" w:cs="仿宋"/>
          <w:b/>
          <w:color w:val="auto"/>
          <w:sz w:val="36"/>
          <w:szCs w:val="36"/>
          <w:lang w:val="en-US" w:eastAsia="zh-CN"/>
        </w:rPr>
        <w:t>投标人（企业电子签章）：</w:t>
      </w:r>
    </w:p>
    <w:p w14:paraId="2E409D75">
      <w:pPr>
        <w:pStyle w:val="167"/>
        <w:pageBreakBefore w:val="0"/>
        <w:wordWrap/>
        <w:topLinePunct w:val="0"/>
        <w:bidi w:val="0"/>
        <w:spacing w:line="360" w:lineRule="auto"/>
        <w:ind w:firstLine="0"/>
        <w:rPr>
          <w:rFonts w:hint="eastAsia" w:ascii="仿宋" w:hAnsi="仿宋" w:eastAsia="仿宋" w:cs="仿宋"/>
          <w:color w:val="auto"/>
          <w:lang w:eastAsia="zh-CN"/>
        </w:rPr>
      </w:pPr>
    </w:p>
    <w:p w14:paraId="4C0FA253">
      <w:pPr>
        <w:pStyle w:val="198"/>
        <w:pageBreakBefore w:val="0"/>
        <w:wordWrap/>
        <w:topLinePunct w:val="0"/>
        <w:bidi w:val="0"/>
        <w:spacing w:line="360" w:lineRule="auto"/>
        <w:jc w:val="center"/>
        <w:rPr>
          <w:rFonts w:hint="eastAsia" w:ascii="仿宋" w:hAnsi="仿宋" w:eastAsia="仿宋" w:cs="仿宋"/>
          <w:b/>
          <w:bCs/>
          <w:color w:val="auto"/>
          <w:sz w:val="32"/>
          <w:szCs w:val="32"/>
        </w:rPr>
      </w:pPr>
      <w:bookmarkStart w:id="460" w:name="_Toc1363473509_WPSOffice_Level2"/>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目  录</w:t>
      </w:r>
      <w:bookmarkEnd w:id="460"/>
    </w:p>
    <w:p w14:paraId="668AB484">
      <w:pPr>
        <w:pStyle w:val="198"/>
        <w:pageBreakBefore w:val="0"/>
        <w:wordWrap/>
        <w:topLinePunct w:val="0"/>
        <w:bidi w:val="0"/>
        <w:spacing w:line="360" w:lineRule="auto"/>
        <w:rPr>
          <w:rFonts w:hint="eastAsia" w:ascii="仿宋" w:hAnsi="仿宋" w:eastAsia="仿宋" w:cs="仿宋"/>
          <w:color w:val="auto"/>
          <w:sz w:val="28"/>
          <w:szCs w:val="28"/>
          <w:lang w:val="zh-TW"/>
        </w:rPr>
      </w:pPr>
    </w:p>
    <w:p w14:paraId="72D658D8">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一、投标函</w:t>
      </w:r>
    </w:p>
    <w:p w14:paraId="781264FE">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二、法定代表人身份证明书</w:t>
      </w:r>
    </w:p>
    <w:p w14:paraId="428267AD">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rPr>
        <w:t>三、投标报价表格</w:t>
      </w:r>
    </w:p>
    <w:p w14:paraId="61727537">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四</w:t>
      </w:r>
      <w:r>
        <w:rPr>
          <w:rFonts w:hint="eastAsia" w:ascii="仿宋" w:hAnsi="仿宋" w:eastAsia="仿宋" w:cs="仿宋"/>
          <w:color w:val="auto"/>
          <w:sz w:val="28"/>
          <w:szCs w:val="28"/>
          <w:lang w:val="zh-TW"/>
        </w:rPr>
        <w:t>、企业声明函</w:t>
      </w:r>
    </w:p>
    <w:p w14:paraId="68F5C78A">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五</w:t>
      </w:r>
      <w:r>
        <w:rPr>
          <w:rFonts w:hint="eastAsia" w:ascii="仿宋" w:hAnsi="仿宋" w:eastAsia="仿宋" w:cs="仿宋"/>
          <w:color w:val="auto"/>
          <w:sz w:val="28"/>
          <w:szCs w:val="28"/>
          <w:lang w:val="zh-TW"/>
        </w:rPr>
        <w:t>、综合证明文件</w:t>
      </w:r>
    </w:p>
    <w:p w14:paraId="06A5EC08">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六</w:t>
      </w:r>
      <w:r>
        <w:rPr>
          <w:rFonts w:hint="eastAsia" w:ascii="仿宋" w:hAnsi="仿宋" w:eastAsia="仿宋" w:cs="仿宋"/>
          <w:color w:val="auto"/>
          <w:sz w:val="28"/>
          <w:szCs w:val="28"/>
          <w:lang w:val="zh-TW"/>
        </w:rPr>
        <w:t>、服务方案</w:t>
      </w:r>
    </w:p>
    <w:p w14:paraId="5ED46248">
      <w:pPr>
        <w:pStyle w:val="198"/>
        <w:pageBreakBefore w:val="0"/>
        <w:wordWrap/>
        <w:topLinePunct w:val="0"/>
        <w:bidi w:val="0"/>
        <w:spacing w:line="360" w:lineRule="auto"/>
        <w:rPr>
          <w:rFonts w:hint="eastAsia" w:ascii="仿宋" w:hAnsi="仿宋" w:eastAsia="仿宋" w:cs="仿宋"/>
          <w:color w:val="auto"/>
          <w:sz w:val="28"/>
          <w:szCs w:val="28"/>
          <w:lang w:val="zh-TW"/>
        </w:rPr>
      </w:pPr>
      <w:r>
        <w:rPr>
          <w:rFonts w:hint="eastAsia" w:ascii="仿宋" w:hAnsi="仿宋" w:eastAsia="仿宋" w:cs="仿宋"/>
          <w:color w:val="auto"/>
          <w:sz w:val="28"/>
          <w:szCs w:val="28"/>
          <w:lang w:val="zh-TW" w:eastAsia="zh-CN"/>
        </w:rPr>
        <w:t>七</w:t>
      </w:r>
      <w:r>
        <w:rPr>
          <w:rFonts w:hint="eastAsia" w:ascii="仿宋" w:hAnsi="仿宋" w:eastAsia="仿宋" w:cs="仿宋"/>
          <w:color w:val="auto"/>
          <w:sz w:val="28"/>
          <w:szCs w:val="28"/>
          <w:lang w:val="zh-TW"/>
        </w:rPr>
        <w:t>、其他文件</w:t>
      </w:r>
    </w:p>
    <w:p w14:paraId="24505F86">
      <w:pPr>
        <w:pStyle w:val="198"/>
        <w:pageBreakBefore w:val="0"/>
        <w:wordWrap/>
        <w:topLinePunct w:val="0"/>
        <w:bidi w:val="0"/>
        <w:spacing w:line="360" w:lineRule="auto"/>
        <w:rPr>
          <w:rFonts w:hint="eastAsia" w:ascii="仿宋" w:hAnsi="仿宋" w:eastAsia="仿宋" w:cs="仿宋"/>
          <w:color w:val="auto"/>
          <w:sz w:val="28"/>
          <w:szCs w:val="28"/>
          <w:lang w:val="zh-TW"/>
        </w:rPr>
      </w:pPr>
    </w:p>
    <w:p w14:paraId="6BEED796">
      <w:pPr>
        <w:rPr>
          <w:rFonts w:hint="eastAsia"/>
          <w:lang w:val="zh-TW" w:eastAsia="zh-CN"/>
        </w:rPr>
      </w:pPr>
      <w:r>
        <w:rPr>
          <w:rFonts w:hint="eastAsia"/>
          <w:lang w:val="zh-TW" w:eastAsia="zh-CN"/>
        </w:rPr>
        <w:br w:type="page"/>
      </w:r>
    </w:p>
    <w:p w14:paraId="171F047A">
      <w:pPr>
        <w:jc w:val="center"/>
        <w:outlineLvl w:val="1"/>
        <w:rPr>
          <w:rFonts w:hint="eastAsia" w:ascii="仿宋" w:hAnsi="仿宋" w:eastAsia="仿宋" w:cs="仿宋"/>
          <w:b/>
          <w:bCs/>
          <w:sz w:val="28"/>
          <w:szCs w:val="28"/>
          <w:lang w:val="zh-TW"/>
        </w:rPr>
      </w:pPr>
      <w:r>
        <w:rPr>
          <w:rFonts w:hint="eastAsia" w:ascii="仿宋" w:hAnsi="仿宋" w:eastAsia="仿宋" w:cs="仿宋"/>
          <w:b/>
          <w:bCs/>
          <w:sz w:val="28"/>
          <w:szCs w:val="28"/>
          <w:lang w:val="zh-TW" w:eastAsia="zh-CN"/>
        </w:rPr>
        <w:t>一、投标函</w:t>
      </w:r>
    </w:p>
    <w:p w14:paraId="126D4008">
      <w:pPr>
        <w:pageBreakBefore w:val="0"/>
        <w:wordWrap/>
        <w:topLinePunct w:val="0"/>
        <w:bidi w:val="0"/>
        <w:spacing w:line="360" w:lineRule="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致：</w:t>
      </w:r>
      <w:r>
        <w:rPr>
          <w:rFonts w:hint="eastAsia" w:ascii="仿宋" w:hAnsi="仿宋" w:eastAsia="仿宋" w:cs="仿宋"/>
          <w:color w:val="auto"/>
          <w:sz w:val="28"/>
          <w:szCs w:val="28"/>
          <w:u w:val="single"/>
          <w:lang w:val="en-US" w:eastAsia="zh-CN"/>
        </w:rPr>
        <w:t xml:space="preserve"> 河南财经政法大学</w:t>
      </w:r>
      <w:r>
        <w:rPr>
          <w:rFonts w:hint="eastAsia" w:ascii="仿宋" w:hAnsi="仿宋" w:eastAsia="仿宋" w:cs="仿宋"/>
          <w:color w:val="auto"/>
          <w:sz w:val="28"/>
          <w:szCs w:val="28"/>
          <w:u w:val="single"/>
          <w:lang w:eastAsia="zh-CN"/>
        </w:rPr>
        <w:t xml:space="preserve"> </w:t>
      </w:r>
    </w:p>
    <w:p w14:paraId="72E04417">
      <w:pPr>
        <w:pageBreakBefore w:val="0"/>
        <w:wordWrap/>
        <w:topLinePunct w:val="0"/>
        <w:bidi w:val="0"/>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eastAsia="zh-CN"/>
        </w:rPr>
        <w:t>我们收到了采购编号为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 w:eastAsia="zh-CN"/>
        </w:rPr>
        <w:t>豫财招标采购-2025-1739</w:t>
      </w:r>
      <w:r>
        <w:rPr>
          <w:rFonts w:hint="eastAsia" w:ascii="仿宋" w:hAnsi="仿宋" w:eastAsia="仿宋" w:cs="仿宋"/>
          <w:color w:val="auto"/>
          <w:sz w:val="28"/>
          <w:szCs w:val="28"/>
          <w:u w:val="none"/>
          <w:lang w:eastAsia="zh-CN"/>
        </w:rPr>
        <w:t>的</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 w:eastAsia="zh-CN"/>
        </w:rPr>
        <w:t>河南财经政法大学郑东校区物业服务项目</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采购文件，经详细研究，我们决定参加该项目的投标活动并按要求提交投标文件。我们</w:t>
      </w:r>
      <w:r>
        <w:rPr>
          <w:rFonts w:hint="eastAsia" w:ascii="仿宋" w:hAnsi="仿宋" w:eastAsia="仿宋" w:cs="仿宋"/>
          <w:color w:val="auto"/>
          <w:sz w:val="28"/>
          <w:szCs w:val="28"/>
          <w:highlight w:val="none"/>
          <w:lang w:eastAsia="zh-CN"/>
        </w:rPr>
        <w:t>郑重声明以下诸点并负法律责任</w:t>
      </w:r>
      <w:r>
        <w:rPr>
          <w:rFonts w:hint="eastAsia" w:ascii="仿宋" w:hAnsi="仿宋" w:eastAsia="仿宋" w:cs="仿宋"/>
          <w:color w:val="auto"/>
          <w:sz w:val="28"/>
          <w:szCs w:val="28"/>
          <w:highlight w:val="none"/>
          <w:lang w:val="en-US" w:eastAsia="zh-CN"/>
        </w:rPr>
        <w:t>：</w:t>
      </w:r>
    </w:p>
    <w:p w14:paraId="7B491B54">
      <w:pPr>
        <w:pageBreakBefore w:val="0"/>
        <w:wordWrap/>
        <w:topLinePunct w:val="0"/>
        <w:bidi w:val="0"/>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(1) </w:t>
      </w:r>
      <w:r>
        <w:rPr>
          <w:rFonts w:hint="eastAsia" w:ascii="仿宋" w:hAnsi="仿宋" w:eastAsia="仿宋" w:cs="仿宋"/>
          <w:color w:val="auto"/>
          <w:sz w:val="28"/>
          <w:szCs w:val="28"/>
          <w:highlight w:val="none"/>
          <w:lang w:eastAsia="zh-CN"/>
        </w:rPr>
        <w:t>愿按照采购文件中规定的条款和要求，提供完成采购文件规定的全部工作，投标总报价为（大写）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元人民币，（小写）￥：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元），服务期限为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lang w:eastAsia="zh-CN"/>
        </w:rPr>
        <w:t>，投标有效期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eastAsia="zh-CN"/>
        </w:rPr>
        <w:t>60</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天</w:t>
      </w:r>
      <w:r>
        <w:rPr>
          <w:rFonts w:hint="eastAsia" w:ascii="仿宋" w:hAnsi="仿宋" w:eastAsia="仿宋" w:cs="仿宋"/>
          <w:color w:val="auto"/>
          <w:sz w:val="28"/>
          <w:szCs w:val="28"/>
          <w:highlight w:val="none"/>
          <w:lang w:eastAsia="zh-CN"/>
        </w:rPr>
        <w:t>。</w:t>
      </w:r>
    </w:p>
    <w:p w14:paraId="69D2DE70">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如果我们的投标文件被接受，我们将履行招标文件中规定的各项要求。</w:t>
      </w:r>
    </w:p>
    <w:p w14:paraId="0754CE74">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我们同意本招标文件中有关投标有效期的规定。如果中标，有效期延长至合同终止日止。</w:t>
      </w:r>
    </w:p>
    <w:p w14:paraId="2430E623">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我们愿提供招标文件中要求的所有文件资料。</w:t>
      </w:r>
    </w:p>
    <w:p w14:paraId="5F562252">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04D88D7B">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我们承诺，与采购人聘请的为此项目提供咨询服务及任何附属机构均无关联，非采购人的附属机构。</w:t>
      </w:r>
    </w:p>
    <w:p w14:paraId="1A05A3A4">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我公司同意提供按照采购人可能要求的与其投标有关的一切数据或资料，完全理解采购人不一定接受最低价的投标或收到的任何投标。</w:t>
      </w:r>
    </w:p>
    <w:p w14:paraId="5420BFFB">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如果我们的投标文件被接受，我们将按招标文件的规定签订并严格履行合同中的责任和义务。</w:t>
      </w:r>
    </w:p>
    <w:p w14:paraId="3BA4E6DA">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F8E59DB">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我公司独立参加投标，未组成联合体参加投标。</w:t>
      </w:r>
    </w:p>
    <w:p w14:paraId="6551A85A">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除不可抗力外，我公司如果发生以下行为，将在行为发生的10个工作日内，向贵方支付本招标文件公布的最高限价的2%作为违约赔偿金。</w:t>
      </w:r>
    </w:p>
    <w:p w14:paraId="3BF083B9">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1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在招标文件规定的投标有效期内实质上修改或撤回投标；</w:t>
      </w:r>
    </w:p>
    <w:p w14:paraId="5B3E6E19">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2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中标后不依法与采购人签订合同；</w:t>
      </w:r>
    </w:p>
    <w:p w14:paraId="3A29CE03">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lang w:eastAsia="zh-CN"/>
        </w:rPr>
        <w:instrText xml:space="preserve"> = 3 \* GB3 \* MERGEFORMAT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t>在投标文件中提供虚假材料。</w:t>
      </w:r>
    </w:p>
    <w:p w14:paraId="77038BC1">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（其他补充说明）。</w:t>
      </w:r>
    </w:p>
    <w:p w14:paraId="16CF1D92">
      <w:pPr>
        <w:pageBreakBefore w:val="0"/>
        <w:wordWrap/>
        <w:topLinePunct w:val="0"/>
        <w:bidi w:val="0"/>
        <w:spacing w:line="360" w:lineRule="auto"/>
        <w:ind w:firstLine="560"/>
        <w:rPr>
          <w:rFonts w:hint="eastAsia" w:ascii="仿宋" w:hAnsi="仿宋" w:eastAsia="仿宋" w:cs="仿宋"/>
          <w:color w:val="auto"/>
          <w:sz w:val="28"/>
          <w:szCs w:val="28"/>
          <w:lang w:eastAsia="zh-CN"/>
        </w:rPr>
      </w:pPr>
    </w:p>
    <w:p w14:paraId="164CB5BB">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与本投标有关的正式通讯地址：</w:t>
      </w:r>
    </w:p>
    <w:p w14:paraId="70722B07">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地  址：                             邮  编：</w:t>
      </w:r>
    </w:p>
    <w:p w14:paraId="1694D0D2">
      <w:pPr>
        <w:pageBreakBefore w:val="0"/>
        <w:wordWrap/>
        <w:topLinePunct w:val="0"/>
        <w:bidi w:val="0"/>
        <w:spacing w:line="360" w:lineRule="auto"/>
        <w:ind w:firstLine="46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电  话：                             传  真：</w:t>
      </w:r>
    </w:p>
    <w:p w14:paraId="4263A16A">
      <w:pPr>
        <w:pageBreakBefore w:val="0"/>
        <w:wordWrap/>
        <w:topLinePunct w:val="0"/>
        <w:bidi w:val="0"/>
        <w:spacing w:line="360" w:lineRule="auto"/>
        <w:ind w:firstLine="465"/>
        <w:rPr>
          <w:rFonts w:hint="eastAsia" w:ascii="仿宋" w:hAnsi="仿宋" w:eastAsia="仿宋" w:cs="仿宋"/>
          <w:color w:val="auto"/>
          <w:sz w:val="28"/>
          <w:szCs w:val="28"/>
          <w:lang w:eastAsia="zh-CN"/>
        </w:rPr>
      </w:pPr>
    </w:p>
    <w:p w14:paraId="5C65B3D9">
      <w:pPr>
        <w:pageBreakBefore w:val="0"/>
        <w:wordWrap/>
        <w:topLinePunct w:val="0"/>
        <w:bidi w:val="0"/>
        <w:spacing w:line="360" w:lineRule="auto"/>
        <w:ind w:firstLine="465"/>
        <w:rPr>
          <w:rFonts w:hint="eastAsia" w:ascii="仿宋" w:hAnsi="仿宋" w:eastAsia="仿宋" w:cs="仿宋"/>
          <w:color w:val="auto"/>
          <w:sz w:val="28"/>
          <w:szCs w:val="28"/>
          <w:lang w:eastAsia="zh-CN"/>
        </w:rPr>
      </w:pPr>
    </w:p>
    <w:p w14:paraId="74C86B84">
      <w:pPr>
        <w:pageBreakBefore w:val="0"/>
        <w:wordWrap/>
        <w:topLinePunct w:val="0"/>
        <w:bidi w:val="0"/>
        <w:spacing w:line="360" w:lineRule="auto"/>
        <w:ind w:firstLine="46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投标人（企业电子签章）：</w:t>
      </w:r>
    </w:p>
    <w:p w14:paraId="1FCD3F02">
      <w:pPr>
        <w:pageBreakBefore w:val="0"/>
        <w:wordWrap/>
        <w:topLinePunct w:val="0"/>
        <w:bidi w:val="0"/>
        <w:spacing w:line="360" w:lineRule="auto"/>
        <w:ind w:firstLine="465"/>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法定代表人（个人电子签章）：       </w:t>
      </w:r>
    </w:p>
    <w:p w14:paraId="580234D2">
      <w:pPr>
        <w:pStyle w:val="228"/>
        <w:pageBreakBefore w:val="0"/>
        <w:wordWrap/>
        <w:topLinePunct w:val="0"/>
        <w:bidi w:val="0"/>
        <w:spacing w:line="360" w:lineRule="auto"/>
        <w:rPr>
          <w:rFonts w:hint="eastAsia" w:ascii="仿宋" w:hAnsi="仿宋" w:eastAsia="仿宋" w:cs="仿宋"/>
          <w:color w:val="auto"/>
        </w:rPr>
      </w:pPr>
    </w:p>
    <w:p w14:paraId="34A3A8ED">
      <w:pPr>
        <w:pStyle w:val="228"/>
        <w:pageBreakBefore w:val="0"/>
        <w:wordWrap/>
        <w:topLinePunct w:val="0"/>
        <w:bidi w:val="0"/>
        <w:spacing w:line="360" w:lineRule="auto"/>
        <w:rPr>
          <w:rFonts w:hint="eastAsia" w:ascii="仿宋" w:hAnsi="仿宋" w:eastAsia="仿宋" w:cs="仿宋"/>
          <w:color w:val="auto"/>
        </w:rPr>
      </w:pPr>
    </w:p>
    <w:p w14:paraId="6154575E">
      <w:pPr>
        <w:pageBreakBefore w:val="0"/>
        <w:wordWrap/>
        <w:topLinePunct w:val="0"/>
        <w:bidi w:val="0"/>
        <w:spacing w:line="360" w:lineRule="auto"/>
        <w:ind w:firstLine="465"/>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日期：    年  月  日</w:t>
      </w:r>
    </w:p>
    <w:p w14:paraId="1E0A80D8">
      <w:pPr>
        <w:jc w:val="center"/>
        <w:outlineLvl w:val="1"/>
        <w:rPr>
          <w:rFonts w:hint="eastAsia" w:ascii="仿宋" w:hAnsi="仿宋" w:eastAsia="仿宋" w:cs="仿宋"/>
          <w:b w:val="0"/>
          <w:color w:val="auto"/>
          <w:sz w:val="30"/>
          <w:szCs w:val="30"/>
          <w:lang w:val="en-US" w:eastAsia="zh-CN"/>
        </w:rPr>
      </w:pPr>
      <w:bookmarkStart w:id="461" w:name="_Toc515647818"/>
      <w:bookmarkStart w:id="462" w:name="_Toc1881"/>
      <w:bookmarkStart w:id="463" w:name="_Toc74240237"/>
      <w:bookmarkStart w:id="464" w:name="_Toc532473507"/>
      <w:bookmarkStart w:id="465" w:name="_Toc20897"/>
      <w:bookmarkStart w:id="466" w:name="_Toc2582321"/>
      <w:r>
        <w:rPr>
          <w:rFonts w:hint="eastAsia" w:ascii="仿宋" w:hAnsi="仿宋" w:eastAsia="仿宋" w:cs="仿宋"/>
          <w:color w:val="auto"/>
          <w:sz w:val="28"/>
          <w:szCs w:val="28"/>
          <w:highlight w:val="green"/>
          <w:lang w:val="en-US" w:eastAsia="zh-CN"/>
        </w:rPr>
        <w:br w:type="page"/>
      </w:r>
      <w:bookmarkStart w:id="467" w:name="_Toc953796897"/>
      <w:bookmarkStart w:id="468" w:name="_Toc942115178"/>
      <w:bookmarkStart w:id="469" w:name="_Toc1320028818_WPSOffice_Level2"/>
      <w:bookmarkStart w:id="470" w:name="_Toc1194597873"/>
      <w:bookmarkStart w:id="471" w:name="_Toc1454903178"/>
      <w:bookmarkStart w:id="472" w:name="_Toc1472753336"/>
      <w:bookmarkStart w:id="473" w:name="_Toc1552610899"/>
      <w:bookmarkStart w:id="474" w:name="_Toc1601753856"/>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TW" w:eastAsia="zh-CN"/>
        </w:rPr>
        <w:t>法定代表人身份证明书</w:t>
      </w:r>
      <w:bookmarkEnd w:id="467"/>
      <w:bookmarkEnd w:id="468"/>
      <w:bookmarkEnd w:id="469"/>
      <w:bookmarkEnd w:id="470"/>
      <w:bookmarkEnd w:id="471"/>
      <w:bookmarkEnd w:id="472"/>
      <w:bookmarkEnd w:id="473"/>
      <w:bookmarkEnd w:id="474"/>
    </w:p>
    <w:p w14:paraId="0DED6662">
      <w:pPr>
        <w:pageBreakBefore w:val="0"/>
        <w:wordWrap/>
        <w:topLinePunct w:val="0"/>
        <w:bidi w:val="0"/>
        <w:spacing w:line="360" w:lineRule="auto"/>
        <w:rPr>
          <w:rFonts w:hint="eastAsia" w:ascii="仿宋" w:hAnsi="仿宋" w:eastAsia="仿宋" w:cs="仿宋"/>
          <w:color w:val="auto"/>
          <w:sz w:val="28"/>
          <w:szCs w:val="28"/>
          <w:lang w:val="en-US" w:eastAsia="zh-CN"/>
        </w:rPr>
      </w:pPr>
    </w:p>
    <w:p w14:paraId="39873E21">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河南财经政法大学</w:t>
      </w:r>
      <w:r>
        <w:rPr>
          <w:rFonts w:hint="eastAsia" w:ascii="仿宋" w:hAnsi="仿宋" w:eastAsia="仿宋" w:cs="仿宋"/>
          <w:color w:val="auto"/>
          <w:sz w:val="28"/>
          <w:szCs w:val="28"/>
          <w:u w:val="single"/>
          <w:lang w:eastAsia="zh-CN"/>
        </w:rPr>
        <w:t xml:space="preserve"> </w:t>
      </w:r>
    </w:p>
    <w:p w14:paraId="5E8A3633">
      <w:pPr>
        <w:pageBreakBefore w:val="0"/>
        <w:wordWrap/>
        <w:topLinePunct w:val="0"/>
        <w:bidi w:val="0"/>
        <w:spacing w:line="360" w:lineRule="auto"/>
        <w:ind w:firstLine="6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（姓名、性别、年龄、身份证号码）在我单位任</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lang w:eastAsia="zh-CN"/>
        </w:rPr>
        <w:t>（董事长、总经理等）职务，是我单位的法定代表人。</w:t>
      </w:r>
    </w:p>
    <w:p w14:paraId="1D6A23BE">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48FB9C17">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0D635268">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特此证明。</w:t>
      </w:r>
    </w:p>
    <w:p w14:paraId="1E0A27CC">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165411AF">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7E68DA7D">
      <w:pPr>
        <w:pStyle w:val="198"/>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投标人（企业电子签章）：</w:t>
      </w:r>
      <w:r>
        <w:rPr>
          <w:rFonts w:hint="eastAsia" w:ascii="仿宋" w:hAnsi="仿宋" w:eastAsia="仿宋" w:cs="仿宋"/>
          <w:color w:val="auto"/>
          <w:sz w:val="28"/>
          <w:szCs w:val="28"/>
          <w:u w:val="single"/>
        </w:rPr>
        <w:t xml:space="preserve">                             </w:t>
      </w:r>
    </w:p>
    <w:p w14:paraId="0151A508">
      <w:pPr>
        <w:pStyle w:val="198"/>
        <w:pageBreakBefore w:val="0"/>
        <w:tabs>
          <w:tab w:val="left" w:pos="5580"/>
        </w:tabs>
        <w:wordWrap/>
        <w:topLinePunct w:val="0"/>
        <w:bidi w:val="0"/>
        <w:spacing w:line="360" w:lineRule="auto"/>
        <w:ind w:left="269" w:firstLine="120"/>
        <w:rPr>
          <w:rFonts w:hint="eastAsia" w:ascii="仿宋" w:hAnsi="仿宋" w:eastAsia="仿宋" w:cs="仿宋"/>
          <w:color w:val="auto"/>
          <w:sz w:val="28"/>
          <w:szCs w:val="28"/>
        </w:rPr>
      </w:pPr>
      <w:r>
        <w:rPr>
          <w:rFonts w:hint="eastAsia" w:ascii="仿宋" w:hAnsi="仿宋" w:eastAsia="仿宋" w:cs="仿宋"/>
          <w:color w:val="auto"/>
          <w:sz w:val="28"/>
          <w:szCs w:val="28"/>
          <w:lang w:val="zh-TW"/>
        </w:rPr>
        <w:t>详细通讯地址：</w:t>
      </w:r>
      <w:r>
        <w:rPr>
          <w:rFonts w:hint="eastAsia" w:ascii="仿宋" w:hAnsi="仿宋" w:eastAsia="仿宋" w:cs="仿宋"/>
          <w:color w:val="auto"/>
          <w:sz w:val="28"/>
          <w:szCs w:val="28"/>
          <w:u w:val="single"/>
        </w:rPr>
        <w:t xml:space="preserve">                                </w:t>
      </w:r>
    </w:p>
    <w:p w14:paraId="1EBAE884">
      <w:pPr>
        <w:pStyle w:val="198"/>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邮 政 编 码 ：</w:t>
      </w:r>
      <w:r>
        <w:rPr>
          <w:rFonts w:hint="eastAsia" w:ascii="仿宋" w:hAnsi="仿宋" w:eastAsia="仿宋" w:cs="仿宋"/>
          <w:color w:val="auto"/>
          <w:sz w:val="28"/>
          <w:szCs w:val="28"/>
          <w:u w:val="single"/>
        </w:rPr>
        <w:t xml:space="preserve">                                </w:t>
      </w:r>
    </w:p>
    <w:p w14:paraId="4B219CE9">
      <w:pPr>
        <w:pStyle w:val="198"/>
        <w:pageBreakBefore w:val="0"/>
        <w:tabs>
          <w:tab w:val="left" w:pos="5580"/>
        </w:tabs>
        <w:wordWrap/>
        <w:topLinePunct w:val="0"/>
        <w:bidi w:val="0"/>
        <w:spacing w:line="360" w:lineRule="auto"/>
        <w:ind w:firstLine="360"/>
        <w:rPr>
          <w:rFonts w:hint="eastAsia" w:ascii="仿宋" w:hAnsi="仿宋" w:eastAsia="仿宋" w:cs="仿宋"/>
          <w:color w:val="auto"/>
          <w:sz w:val="28"/>
          <w:szCs w:val="28"/>
        </w:rPr>
      </w:pPr>
      <w:r>
        <w:rPr>
          <w:rFonts w:hint="eastAsia" w:ascii="仿宋" w:hAnsi="仿宋" w:eastAsia="仿宋" w:cs="仿宋"/>
          <w:color w:val="auto"/>
          <w:sz w:val="28"/>
          <w:szCs w:val="28"/>
          <w:lang w:val="zh-TW"/>
        </w:rPr>
        <w:t>传　　　　真：</w:t>
      </w:r>
      <w:r>
        <w:rPr>
          <w:rFonts w:hint="eastAsia" w:ascii="仿宋" w:hAnsi="仿宋" w:eastAsia="仿宋" w:cs="仿宋"/>
          <w:color w:val="auto"/>
          <w:sz w:val="28"/>
          <w:szCs w:val="28"/>
          <w:u w:val="single"/>
        </w:rPr>
        <w:t xml:space="preserve">                                </w:t>
      </w:r>
    </w:p>
    <w:p w14:paraId="7BD0DBC5">
      <w:pPr>
        <w:pStyle w:val="198"/>
        <w:pageBreakBefore w:val="0"/>
        <w:tabs>
          <w:tab w:val="left" w:pos="5580"/>
        </w:tabs>
        <w:wordWrap/>
        <w:topLinePunct w:val="0"/>
        <w:bidi w:val="0"/>
        <w:spacing w:line="360" w:lineRule="auto"/>
        <w:ind w:firstLine="360"/>
        <w:rPr>
          <w:rFonts w:hint="eastAsia" w:ascii="仿宋" w:hAnsi="仿宋" w:eastAsia="仿宋" w:cs="仿宋"/>
          <w:color w:val="auto"/>
          <w:sz w:val="28"/>
          <w:szCs w:val="28"/>
          <w:u w:val="single"/>
        </w:rPr>
      </w:pPr>
      <w:r>
        <w:rPr>
          <w:rFonts w:hint="eastAsia" w:ascii="仿宋" w:hAnsi="仿宋" w:eastAsia="仿宋" w:cs="仿宋"/>
          <w:color w:val="auto"/>
          <w:sz w:val="28"/>
          <w:szCs w:val="28"/>
          <w:lang w:val="zh-TW"/>
        </w:rPr>
        <w:t>电　　　　话：</w:t>
      </w:r>
      <w:r>
        <w:rPr>
          <w:rFonts w:hint="eastAsia" w:ascii="仿宋" w:hAnsi="仿宋" w:eastAsia="仿宋" w:cs="仿宋"/>
          <w:color w:val="auto"/>
          <w:sz w:val="28"/>
          <w:szCs w:val="28"/>
          <w:u w:val="single"/>
        </w:rPr>
        <w:t xml:space="preserve">                                </w:t>
      </w:r>
    </w:p>
    <w:p w14:paraId="6C12DE98">
      <w:pPr>
        <w:pStyle w:val="198"/>
        <w:pageBreakBefore w:val="0"/>
        <w:tabs>
          <w:tab w:val="left" w:pos="5580"/>
        </w:tabs>
        <w:wordWrap/>
        <w:topLinePunct w:val="0"/>
        <w:bidi w:val="0"/>
        <w:spacing w:line="360" w:lineRule="auto"/>
        <w:ind w:firstLine="360"/>
        <w:rPr>
          <w:rFonts w:hint="eastAsia" w:ascii="仿宋" w:hAnsi="仿宋" w:eastAsia="仿宋" w:cs="仿宋"/>
          <w:color w:val="auto"/>
          <w:sz w:val="28"/>
          <w:szCs w:val="28"/>
          <w:u w:val="single"/>
        </w:rPr>
      </w:pPr>
    </w:p>
    <w:tbl>
      <w:tblPr>
        <w:tblStyle w:val="53"/>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4484"/>
        <w:gridCol w:w="4485"/>
      </w:tblGrid>
      <w:tr w14:paraId="6CA22D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A18459">
            <w:pPr>
              <w:pageBreakBefore w:val="0"/>
              <w:wordWrap/>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AA8E71F">
            <w:pPr>
              <w:pageBreakBefore w:val="0"/>
              <w:wordWrap/>
              <w:topLinePunct w:val="0"/>
              <w:bidi w:val="0"/>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法定代表人身份证（国徽面）</w:t>
            </w:r>
          </w:p>
        </w:tc>
      </w:tr>
    </w:tbl>
    <w:p w14:paraId="74C32B1D">
      <w:pPr>
        <w:pageBreakBefore w:val="0"/>
        <w:wordWrap/>
        <w:topLinePunct w:val="0"/>
        <w:bidi w:val="0"/>
        <w:spacing w:line="360" w:lineRule="auto"/>
        <w:ind w:firstLine="480"/>
        <w:rPr>
          <w:rFonts w:hint="eastAsia" w:ascii="仿宋" w:hAnsi="仿宋" w:eastAsia="仿宋" w:cs="仿宋"/>
          <w:color w:val="auto"/>
          <w:sz w:val="28"/>
          <w:szCs w:val="28"/>
          <w:lang w:val="en-US" w:eastAsia="zh-CN"/>
        </w:rPr>
      </w:pPr>
    </w:p>
    <w:p w14:paraId="6DC25480">
      <w:pPr>
        <w:pageBreakBefore w:val="0"/>
        <w:wordWrap/>
        <w:topLinePunct w:val="0"/>
        <w:bidi w:val="0"/>
        <w:spacing w:line="360" w:lineRule="auto"/>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注：自然人投标的无需提供。</w:t>
      </w:r>
    </w:p>
    <w:p w14:paraId="1CB2876C">
      <w:pPr>
        <w:pageBreakBefore w:val="0"/>
        <w:wordWrap/>
        <w:topLinePunct w:val="0"/>
        <w:bidi w:val="0"/>
        <w:spacing w:line="360" w:lineRule="auto"/>
        <w:rPr>
          <w:rFonts w:hint="eastAsia" w:ascii="仿宋" w:hAnsi="仿宋" w:eastAsia="仿宋" w:cs="仿宋"/>
          <w:color w:val="auto"/>
          <w:lang w:eastAsia="zh-CN"/>
        </w:rPr>
      </w:pPr>
    </w:p>
    <w:p w14:paraId="6CFB39C2">
      <w:pPr>
        <w:pStyle w:val="4"/>
        <w:pageBreakBefore w:val="0"/>
        <w:wordWrap/>
        <w:topLinePunct w:val="0"/>
        <w:bidi w:val="0"/>
        <w:spacing w:line="360" w:lineRule="auto"/>
        <w:rPr>
          <w:rFonts w:hint="eastAsia" w:ascii="仿宋" w:hAnsi="仿宋" w:eastAsia="仿宋" w:cs="仿宋"/>
          <w:color w:val="auto"/>
          <w:lang w:eastAsia="zh-CN"/>
        </w:rPr>
      </w:pPr>
    </w:p>
    <w:p w14:paraId="6DC1ED06">
      <w:pPr>
        <w:pStyle w:val="5"/>
        <w:pageBreakBefore w:val="0"/>
        <w:wordWrap/>
        <w:topLinePunct w:val="0"/>
        <w:bidi w:val="0"/>
        <w:spacing w:line="360" w:lineRule="auto"/>
        <w:ind w:left="840" w:hanging="420"/>
        <w:rPr>
          <w:rFonts w:hint="eastAsia" w:ascii="仿宋" w:hAnsi="仿宋" w:eastAsia="仿宋" w:cs="仿宋"/>
          <w:color w:val="auto"/>
          <w:lang w:eastAsia="zh-CN"/>
        </w:rPr>
        <w:sectPr>
          <w:head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2452FBD">
      <w:pPr>
        <w:jc w:val="center"/>
        <w:outlineLvl w:val="1"/>
        <w:rPr>
          <w:rFonts w:hint="eastAsia" w:ascii="仿宋" w:hAnsi="仿宋" w:eastAsia="仿宋" w:cs="仿宋"/>
          <w:b/>
          <w:bCs/>
          <w:sz w:val="28"/>
          <w:szCs w:val="28"/>
          <w:lang w:val="en-US" w:eastAsia="zh-CN"/>
        </w:rPr>
      </w:pPr>
      <w:bookmarkStart w:id="475" w:name="_Toc2129612794"/>
      <w:bookmarkStart w:id="476" w:name="_Toc881536663"/>
      <w:bookmarkStart w:id="477" w:name="_Toc1046173163"/>
      <w:bookmarkStart w:id="478" w:name="_Toc1881793082_WPSOffice_Level2"/>
      <w:bookmarkStart w:id="479" w:name="_Toc1255393211"/>
      <w:bookmarkStart w:id="480" w:name="_Toc95209368"/>
      <w:bookmarkStart w:id="481" w:name="_Toc860628901"/>
      <w:bookmarkStart w:id="482" w:name="_Toc320103337"/>
      <w:r>
        <w:rPr>
          <w:rFonts w:hint="eastAsia" w:ascii="仿宋" w:hAnsi="仿宋" w:eastAsia="仿宋" w:cs="仿宋"/>
          <w:b/>
          <w:bCs/>
          <w:sz w:val="28"/>
          <w:szCs w:val="28"/>
          <w:lang w:val="en-US" w:eastAsia="zh-CN"/>
        </w:rPr>
        <w:t>三、投标报价表格</w:t>
      </w:r>
      <w:bookmarkEnd w:id="475"/>
      <w:bookmarkEnd w:id="476"/>
      <w:bookmarkEnd w:id="477"/>
      <w:bookmarkEnd w:id="478"/>
      <w:bookmarkEnd w:id="479"/>
      <w:bookmarkEnd w:id="480"/>
      <w:bookmarkEnd w:id="481"/>
      <w:bookmarkEnd w:id="482"/>
    </w:p>
    <w:p w14:paraId="7B151FA6">
      <w:pPr>
        <w:pageBreakBefore w:val="0"/>
        <w:wordWrap/>
        <w:topLinePunct w:val="0"/>
        <w:bidi w:val="0"/>
        <w:spacing w:line="360" w:lineRule="auto"/>
        <w:jc w:val="center"/>
        <w:outlineLvl w:val="2"/>
        <w:rPr>
          <w:rFonts w:hint="eastAsia" w:ascii="仿宋" w:hAnsi="仿宋" w:eastAsia="仿宋" w:cs="仿宋"/>
          <w:color w:val="auto"/>
          <w:sz w:val="28"/>
          <w:szCs w:val="28"/>
          <w:lang w:eastAsia="zh-CN"/>
        </w:rPr>
      </w:pPr>
      <w:bookmarkStart w:id="483" w:name="_Toc1289935819"/>
      <w:bookmarkStart w:id="484" w:name="_Toc55824951"/>
      <w:bookmarkStart w:id="485" w:name="_Toc562840553"/>
      <w:bookmarkStart w:id="486" w:name="_Toc326650802_WPSOffice_Level3"/>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投标主要内容汇总表</w:t>
      </w:r>
      <w:bookmarkEnd w:id="483"/>
      <w:bookmarkEnd w:id="484"/>
      <w:bookmarkEnd w:id="485"/>
      <w:bookmarkEnd w:id="486"/>
    </w:p>
    <w:p w14:paraId="66CD8DC9">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采购编号：</w:t>
      </w:r>
      <w:r>
        <w:rPr>
          <w:rFonts w:hint="eastAsia" w:ascii="仿宋" w:hAnsi="仿宋" w:eastAsia="仿宋" w:cs="仿宋"/>
          <w:color w:val="auto"/>
          <w:sz w:val="28"/>
          <w:szCs w:val="28"/>
          <w:lang w:val="en" w:eastAsia="zh-CN"/>
        </w:rPr>
        <w:t>豫财招标采购-2025-1739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金额单位：元人民币</w:t>
      </w:r>
    </w:p>
    <w:tbl>
      <w:tblPr>
        <w:tblStyle w:val="53"/>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3D0659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6396FAF">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9FFD16E">
            <w:pPr>
              <w:pageBreakBefore w:val="0"/>
              <w:wordWrap/>
              <w:topLinePunct w:val="0"/>
              <w:bidi w:val="0"/>
              <w:spacing w:line="360" w:lineRule="auto"/>
              <w:ind w:left="105" w:leftChars="5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 w:eastAsia="zh-CN"/>
              </w:rPr>
              <w:t>河南财经政法大学郑东校区物业服务项目</w:t>
            </w:r>
          </w:p>
        </w:tc>
      </w:tr>
      <w:tr w14:paraId="2FCB89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0D7E7BC">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AFFFD04">
            <w:pPr>
              <w:pageBreakBefore w:val="0"/>
              <w:wordWrap/>
              <w:topLinePunct w:val="0"/>
              <w:bidi w:val="0"/>
              <w:spacing w:line="360" w:lineRule="auto"/>
              <w:rPr>
                <w:rFonts w:hint="eastAsia" w:ascii="仿宋" w:hAnsi="仿宋" w:eastAsia="仿宋" w:cs="仿宋"/>
                <w:color w:val="auto"/>
                <w:kern w:val="0"/>
                <w:sz w:val="28"/>
                <w:szCs w:val="28"/>
                <w:lang w:val="en-US" w:eastAsia="zh-CN"/>
              </w:rPr>
            </w:pPr>
          </w:p>
        </w:tc>
      </w:tr>
      <w:tr w14:paraId="05104B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A877A98">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C5A0EBA">
            <w:pPr>
              <w:pageBreakBefore w:val="0"/>
              <w:wordWrap/>
              <w:topLinePunct w:val="0"/>
              <w:bidi w:val="0"/>
              <w:spacing w:line="360" w:lineRule="auto"/>
              <w:rPr>
                <w:rFonts w:hint="eastAsia" w:ascii="仿宋" w:hAnsi="仿宋" w:eastAsia="仿宋" w:cs="仿宋"/>
                <w:color w:val="auto"/>
                <w:kern w:val="0"/>
                <w:sz w:val="28"/>
                <w:szCs w:val="28"/>
              </w:rPr>
            </w:pPr>
          </w:p>
        </w:tc>
      </w:tr>
      <w:tr w14:paraId="42725C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5E2A8AF">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5F87E46">
            <w:pPr>
              <w:pageBreakBefore w:val="0"/>
              <w:wordWrap/>
              <w:topLinePunct w:val="0"/>
              <w:bidi w:val="0"/>
              <w:spacing w:line="360" w:lineRule="auto"/>
              <w:rPr>
                <w:rFonts w:hint="eastAsia" w:ascii="仿宋" w:hAnsi="仿宋" w:eastAsia="仿宋" w:cs="仿宋"/>
                <w:color w:val="auto"/>
                <w:kern w:val="0"/>
                <w:sz w:val="28"/>
                <w:szCs w:val="28"/>
              </w:rPr>
            </w:pPr>
          </w:p>
        </w:tc>
      </w:tr>
      <w:tr w14:paraId="1DB72C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17E8BDD">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BBC8AFF">
            <w:pPr>
              <w:pageBreakBefore w:val="0"/>
              <w:wordWrap/>
              <w:topLinePunct w:val="0"/>
              <w:bidi w:val="0"/>
              <w:spacing w:line="360" w:lineRule="auto"/>
              <w:ind w:left="105" w:leftChars="50" w:firstLine="140" w:firstLineChars="50"/>
              <w:rPr>
                <w:rFonts w:hint="eastAsia" w:ascii="仿宋" w:hAnsi="仿宋" w:eastAsia="仿宋" w:cs="仿宋"/>
                <w:color w:val="auto"/>
                <w:kern w:val="0"/>
                <w:sz w:val="28"/>
                <w:szCs w:val="28"/>
                <w:lang w:val="en-US" w:eastAsia="zh-CN"/>
              </w:rPr>
            </w:pPr>
          </w:p>
        </w:tc>
      </w:tr>
      <w:tr w14:paraId="29029B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1CC37B4">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3BD325D">
            <w:pPr>
              <w:pageBreakBefore w:val="0"/>
              <w:wordWrap/>
              <w:topLinePunct w:val="0"/>
              <w:bidi w:val="0"/>
              <w:spacing w:line="360" w:lineRule="auto"/>
              <w:ind w:left="105" w:leftChars="50"/>
              <w:rPr>
                <w:rFonts w:hint="eastAsia" w:ascii="仿宋" w:hAnsi="仿宋" w:eastAsia="仿宋" w:cs="仿宋"/>
                <w:color w:val="auto"/>
                <w:kern w:val="0"/>
                <w:sz w:val="28"/>
                <w:szCs w:val="28"/>
                <w:lang w:val="en-US" w:eastAsia="zh-CN"/>
              </w:rPr>
            </w:pPr>
          </w:p>
        </w:tc>
      </w:tr>
      <w:tr w14:paraId="22AF35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6EE4B68">
            <w:pPr>
              <w:pageBreakBefore w:val="0"/>
              <w:wordWrap/>
              <w:topLinePunct w:val="0"/>
              <w:bidi w:val="0"/>
              <w:spacing w:line="36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C4E86DC">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满足采购人要求</w:t>
            </w:r>
          </w:p>
        </w:tc>
      </w:tr>
      <w:tr w14:paraId="7E06C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0B33595">
            <w:pPr>
              <w:pageBreakBefore w:val="0"/>
              <w:wordWrap/>
              <w:topLinePunct w:val="0"/>
              <w:bidi w:val="0"/>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2324066">
            <w:pPr>
              <w:pageBreakBefore w:val="0"/>
              <w:wordWrap/>
              <w:topLinePunct w:val="0"/>
              <w:bidi w:val="0"/>
              <w:spacing w:line="360" w:lineRule="auto"/>
              <w:ind w:left="105" w:leftChars="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从投标截止之日起60</w:t>
            </w:r>
            <w:r>
              <w:rPr>
                <w:rFonts w:hint="eastAsia" w:ascii="仿宋" w:hAnsi="仿宋" w:eastAsia="仿宋" w:cs="仿宋"/>
                <w:color w:val="auto"/>
                <w:kern w:val="0"/>
                <w:sz w:val="28"/>
                <w:szCs w:val="28"/>
                <w:highlight w:val="none"/>
                <w:lang w:val="en-US" w:eastAsia="zh-CN"/>
              </w:rPr>
              <w:t>天</w:t>
            </w:r>
          </w:p>
        </w:tc>
      </w:tr>
      <w:tr w14:paraId="0A6D17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2049D0">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19E4E1B">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满足招标文件需求</w:t>
            </w:r>
          </w:p>
        </w:tc>
      </w:tr>
      <w:tr w14:paraId="1BD0F8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1D2395D">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2A40BF9">
            <w:pPr>
              <w:pageBreakBefore w:val="0"/>
              <w:wordWrap/>
              <w:topLinePunct w:val="0"/>
              <w:bidi w:val="0"/>
              <w:spacing w:line="360" w:lineRule="auto"/>
              <w:ind w:left="105" w:leftChars="5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满足招标文件需求</w:t>
            </w:r>
          </w:p>
        </w:tc>
      </w:tr>
      <w:tr w14:paraId="6DACD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183B572">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487733D">
            <w:pPr>
              <w:pageBreakBefore w:val="0"/>
              <w:wordWrap/>
              <w:topLinePunct w:val="0"/>
              <w:bidi w:val="0"/>
              <w:spacing w:line="360" w:lineRule="auto"/>
              <w:rPr>
                <w:rFonts w:hint="eastAsia" w:ascii="仿宋" w:hAnsi="仿宋" w:eastAsia="仿宋" w:cs="仿宋"/>
                <w:color w:val="auto"/>
                <w:kern w:val="0"/>
                <w:sz w:val="28"/>
                <w:szCs w:val="28"/>
              </w:rPr>
            </w:pPr>
          </w:p>
        </w:tc>
      </w:tr>
    </w:tbl>
    <w:p w14:paraId="4AE6E627">
      <w:pPr>
        <w:pageBreakBefore w:val="0"/>
        <w:widowControl w:val="0"/>
        <w:wordWrap/>
        <w:topLinePunct w:val="0"/>
        <w:bidi w:val="0"/>
        <w:spacing w:line="360" w:lineRule="auto"/>
        <w:jc w:val="center"/>
        <w:rPr>
          <w:rFonts w:hint="eastAsia" w:ascii="仿宋" w:hAnsi="仿宋" w:eastAsia="仿宋" w:cs="仿宋"/>
          <w:color w:val="auto"/>
          <w:sz w:val="28"/>
          <w:szCs w:val="28"/>
        </w:rPr>
      </w:pPr>
    </w:p>
    <w:p w14:paraId="4FF74604">
      <w:pPr>
        <w:pageBreakBefore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投标人（企业电子签章）：</w:t>
      </w:r>
    </w:p>
    <w:p w14:paraId="34BF1D8A">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法定代表人（个人电子签章）：</w:t>
      </w:r>
      <w:bookmarkEnd w:id="461"/>
      <w:bookmarkEnd w:id="462"/>
      <w:bookmarkEnd w:id="463"/>
      <w:bookmarkEnd w:id="464"/>
      <w:bookmarkEnd w:id="465"/>
      <w:bookmarkEnd w:id="466"/>
      <w:bookmarkStart w:id="487" w:name="_Toc2582323"/>
      <w:bookmarkStart w:id="488" w:name="_Toc585133884"/>
      <w:bookmarkStart w:id="489" w:name="_Toc893708091"/>
      <w:bookmarkStart w:id="490" w:name="_Toc643738620"/>
      <w:bookmarkStart w:id="491" w:name="_Toc1973880807"/>
      <w:bookmarkStart w:id="492" w:name="_Toc74240239"/>
      <w:bookmarkStart w:id="493" w:name="_Toc299604904"/>
    </w:p>
    <w:p w14:paraId="313C63D3">
      <w:pPr>
        <w:pStyle w:val="2"/>
        <w:pageBreakBefore w:val="0"/>
        <w:wordWrap/>
        <w:topLinePunct w:val="0"/>
        <w:bidi w:val="0"/>
        <w:spacing w:line="360" w:lineRule="auto"/>
        <w:rPr>
          <w:rFonts w:hint="eastAsia" w:ascii="仿宋" w:hAnsi="仿宋" w:eastAsia="仿宋" w:cs="仿宋"/>
          <w:color w:val="auto"/>
          <w:sz w:val="28"/>
          <w:szCs w:val="28"/>
        </w:rPr>
      </w:pPr>
    </w:p>
    <w:p w14:paraId="24576905">
      <w:pPr>
        <w:pageBreakBefore w:val="0"/>
        <w:numPr>
          <w:ilvl w:val="0"/>
          <w:numId w:val="3"/>
        </w:numPr>
        <w:wordWrap/>
        <w:topLinePunct w:val="0"/>
        <w:bidi w:val="0"/>
        <w:spacing w:line="360" w:lineRule="auto"/>
        <w:jc w:val="center"/>
        <w:outlineLvl w:val="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br w:type="page"/>
      </w:r>
      <w:bookmarkStart w:id="494" w:name="_Toc2051642436_WPSOffice_Level3"/>
      <w:r>
        <w:rPr>
          <w:rFonts w:hint="eastAsia" w:ascii="仿宋" w:hAnsi="仿宋" w:eastAsia="仿宋" w:cs="仿宋"/>
          <w:b/>
          <w:bCs/>
          <w:color w:val="auto"/>
          <w:sz w:val="28"/>
          <w:szCs w:val="28"/>
          <w:lang w:val="en-US" w:eastAsia="zh-CN"/>
        </w:rPr>
        <w:t>分项报价一览表及有关说明</w:t>
      </w:r>
      <w:bookmarkEnd w:id="494"/>
    </w:p>
    <w:p w14:paraId="06027E4E">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采购编号：</w:t>
      </w:r>
      <w:r>
        <w:rPr>
          <w:rFonts w:hint="eastAsia" w:ascii="仿宋" w:hAnsi="仿宋" w:eastAsia="仿宋" w:cs="仿宋"/>
          <w:color w:val="auto"/>
          <w:sz w:val="28"/>
          <w:szCs w:val="28"/>
          <w:lang w:val="en" w:eastAsia="zh-CN"/>
        </w:rPr>
        <w:t>豫财招标采购-2025-1739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金额单位：元人民币</w:t>
      </w:r>
    </w:p>
    <w:p w14:paraId="0C55E8CD">
      <w:pPr>
        <w:pStyle w:val="228"/>
        <w:pageBreakBefore w:val="0"/>
        <w:wordWrap/>
        <w:topLinePunct w:val="0"/>
        <w:bidi w:val="0"/>
        <w:spacing w:line="360" w:lineRule="auto"/>
        <w:rPr>
          <w:rFonts w:hint="eastAsia" w:ascii="仿宋" w:hAnsi="仿宋" w:eastAsia="仿宋" w:cs="仿宋"/>
          <w:color w:val="auto"/>
          <w:sz w:val="2"/>
          <w:szCs w:val="2"/>
        </w:rPr>
      </w:pPr>
    </w:p>
    <w:tbl>
      <w:tblPr>
        <w:tblStyle w:val="53"/>
        <w:tblW w:w="88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054BB9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BA5C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81D9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82F98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F7486">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55B37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E8A8E4A">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备注说明</w:t>
            </w:r>
          </w:p>
        </w:tc>
      </w:tr>
      <w:tr w14:paraId="351835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EF29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CF3E">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0C603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A181D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10E49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53F9AF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71CC0C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333B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9B49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8BC3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54BC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E2BB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BD5C88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5F02F5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514D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D076D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9D16E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1074B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10AF9">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815F2A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504AAE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A12EA">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E2BB1">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B34187">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9D36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0EB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2F435A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2AE532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7B54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29543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62BDE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2888D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8D351F">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5A019E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4C3DE0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523E4B">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008F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C0D4DF">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4019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724F">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83A28A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4666D4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CBBEFA">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EF72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A18DE">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7BE1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23006">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2C40BD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031BB4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A8FA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1227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42F6F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1424F8">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552A04">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516BCF3">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45F2C4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68D0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B2ACEE">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1DCF5">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F3BD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06D72">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972878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1F456E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9048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72C59">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B70BE">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5CBEA4">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5A5E7">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63350DE">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382238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C1F11D">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828F02">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84A1AC">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71EC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51FBBE">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B300B20">
            <w:pPr>
              <w:keepNext w:val="0"/>
              <w:keepLines w:val="0"/>
              <w:pageBreakBefore w:val="0"/>
              <w:widowControl/>
              <w:kinsoku/>
              <w:wordWrap/>
              <w:overflowPunct/>
              <w:topLinePunct w:val="0"/>
              <w:autoSpaceDE/>
              <w:autoSpaceDN w:val="0"/>
              <w:bidi w:val="0"/>
              <w:adjustRightInd/>
              <w:snapToGrid/>
              <w:spacing w:line="360" w:lineRule="auto"/>
              <w:jc w:val="center"/>
              <w:textAlignment w:val="auto"/>
              <w:rPr>
                <w:rFonts w:hint="eastAsia" w:ascii="仿宋" w:hAnsi="仿宋" w:eastAsia="仿宋" w:cs="仿宋"/>
                <w:color w:val="auto"/>
                <w:sz w:val="24"/>
                <w:szCs w:val="24"/>
              </w:rPr>
            </w:pPr>
          </w:p>
        </w:tc>
      </w:tr>
      <w:tr w14:paraId="5C9505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13DC8">
            <w:pPr>
              <w:keepNext w:val="0"/>
              <w:keepLines w:val="0"/>
              <w:pageBreakBefore w:val="0"/>
              <w:widowControl/>
              <w:kinsoku/>
              <w:wordWrap/>
              <w:overflowPunct/>
              <w:topLinePunct w:val="0"/>
              <w:autoSpaceDE/>
              <w:autoSpaceDN w:val="0"/>
              <w:bidi w:val="0"/>
              <w:adjustRightInd/>
              <w:snapToGrid/>
              <w:spacing w:line="360" w:lineRule="auto"/>
              <w:ind w:firstLine="938"/>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FA205E4">
            <w:pPr>
              <w:keepNext w:val="0"/>
              <w:keepLines w:val="0"/>
              <w:pageBreakBefore w:val="0"/>
              <w:widowControl/>
              <w:kinsoku/>
              <w:wordWrap/>
              <w:overflowPunct/>
              <w:topLinePunct w:val="0"/>
              <w:autoSpaceDE/>
              <w:autoSpaceDN w:val="0"/>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r>
    </w:tbl>
    <w:p w14:paraId="58E926CB">
      <w:pPr>
        <w:pStyle w:val="2"/>
        <w:pageBreakBefore w:val="0"/>
        <w:wordWrap/>
        <w:topLinePunct w:val="0"/>
        <w:bidi w:val="0"/>
        <w:spacing w:line="360" w:lineRule="auto"/>
        <w:rPr>
          <w:rFonts w:hint="eastAsia" w:ascii="仿宋" w:hAnsi="仿宋" w:eastAsia="仿宋" w:cs="仿宋"/>
          <w:color w:val="auto"/>
          <w:lang w:val="zh-TW" w:eastAsia="zh-TW"/>
        </w:rPr>
      </w:pPr>
    </w:p>
    <w:p w14:paraId="7F800522">
      <w:pPr>
        <w:pageBreakBefore w:val="0"/>
        <w:wordWrap/>
        <w:topLinePunct w:val="0"/>
        <w:bidi w:val="0"/>
        <w:spacing w:line="360" w:lineRule="auto"/>
        <w:ind w:firstLine="240" w:firstLineChars="100"/>
        <w:rPr>
          <w:rFonts w:hint="eastAsia" w:ascii="仿宋" w:hAnsi="仿宋" w:eastAsia="仿宋" w:cs="仿宋"/>
          <w:bCs/>
          <w:color w:val="auto"/>
          <w:sz w:val="24"/>
          <w:szCs w:val="24"/>
          <w:lang w:eastAsia="zh-CN"/>
        </w:rPr>
      </w:pPr>
      <w:r>
        <w:rPr>
          <w:rFonts w:hint="eastAsia" w:ascii="仿宋" w:hAnsi="仿宋" w:eastAsia="仿宋" w:cs="仿宋"/>
          <w:color w:val="auto"/>
          <w:sz w:val="24"/>
          <w:szCs w:val="24"/>
          <w:lang w:eastAsia="zh-CN"/>
        </w:rPr>
        <w:t>投标人（企业电子签章）：</w:t>
      </w:r>
      <w:r>
        <w:rPr>
          <w:rFonts w:hint="eastAsia" w:ascii="仿宋" w:hAnsi="仿宋" w:eastAsia="仿宋" w:cs="仿宋"/>
          <w:bCs/>
          <w:color w:val="auto"/>
          <w:sz w:val="24"/>
          <w:szCs w:val="24"/>
          <w:u w:val="single"/>
          <w:lang w:eastAsia="zh-CN"/>
        </w:rPr>
        <w:t xml:space="preserve">                </w:t>
      </w:r>
    </w:p>
    <w:p w14:paraId="2A99B119">
      <w:pPr>
        <w:pageBreakBefore w:val="0"/>
        <w:wordWrap/>
        <w:topLinePunct w:val="0"/>
        <w:bidi w:val="0"/>
        <w:spacing w:line="360" w:lineRule="auto"/>
        <w:ind w:firstLine="240" w:firstLineChars="100"/>
        <w:rPr>
          <w:rFonts w:hint="eastAsia" w:ascii="仿宋" w:hAnsi="仿宋" w:eastAsia="仿宋" w:cs="仿宋"/>
          <w:bCs/>
          <w:color w:val="auto"/>
          <w:sz w:val="24"/>
          <w:szCs w:val="24"/>
          <w:u w:val="single"/>
          <w:lang w:eastAsia="zh-CN"/>
        </w:rPr>
      </w:pPr>
      <w:r>
        <w:rPr>
          <w:rFonts w:hint="eastAsia" w:ascii="仿宋" w:hAnsi="仿宋" w:eastAsia="仿宋" w:cs="仿宋"/>
          <w:color w:val="auto"/>
          <w:sz w:val="24"/>
          <w:szCs w:val="24"/>
          <w:lang w:eastAsia="zh-CN"/>
        </w:rPr>
        <w:t>法定代表人（个人电子签章）：</w:t>
      </w:r>
      <w:r>
        <w:rPr>
          <w:rFonts w:hint="eastAsia" w:ascii="仿宋" w:hAnsi="仿宋" w:eastAsia="仿宋" w:cs="仿宋"/>
          <w:bCs/>
          <w:color w:val="auto"/>
          <w:sz w:val="24"/>
          <w:szCs w:val="24"/>
          <w:u w:val="single"/>
          <w:lang w:eastAsia="zh-CN"/>
        </w:rPr>
        <w:t xml:space="preserve">            </w:t>
      </w:r>
    </w:p>
    <w:p w14:paraId="55D92A89">
      <w:pPr>
        <w:pageBreakBefore w:val="0"/>
        <w:wordWrap/>
        <w:topLinePunct w:val="0"/>
        <w:bidi w:val="0"/>
        <w:spacing w:line="360" w:lineRule="auto"/>
        <w:ind w:firstLine="240" w:firstLineChars="100"/>
        <w:rPr>
          <w:rFonts w:hint="eastAsia" w:ascii="仿宋" w:hAnsi="仿宋" w:eastAsia="仿宋" w:cs="仿宋"/>
          <w:color w:val="auto"/>
          <w:sz w:val="24"/>
          <w:szCs w:val="24"/>
          <w:lang w:eastAsia="zh-CN"/>
        </w:rPr>
      </w:pPr>
    </w:p>
    <w:p w14:paraId="54E51FEE">
      <w:pPr>
        <w:pageBreakBefore w:val="0"/>
        <w:wordWrap/>
        <w:topLinePunct w:val="0"/>
        <w:bidi w:val="0"/>
        <w:spacing w:line="360" w:lineRule="auto"/>
        <w:ind w:firstLine="240" w:firstLineChars="100"/>
        <w:jc w:val="right"/>
        <w:rPr>
          <w:rFonts w:hint="eastAsia" w:ascii="仿宋" w:hAnsi="仿宋" w:eastAsia="仿宋" w:cs="仿宋"/>
          <w:b/>
          <w:color w:val="auto"/>
          <w:sz w:val="24"/>
          <w:szCs w:val="24"/>
          <w:lang w:eastAsia="zh-CN"/>
        </w:rPr>
      </w:pPr>
      <w:r>
        <w:rPr>
          <w:rFonts w:hint="eastAsia" w:ascii="仿宋" w:hAnsi="仿宋" w:eastAsia="仿宋" w:cs="仿宋"/>
          <w:bCs/>
          <w:color w:val="auto"/>
          <w:sz w:val="24"/>
          <w:szCs w:val="24"/>
          <w:lang w:eastAsia="zh-CN"/>
        </w:rPr>
        <w:t>日期：</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月</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lang w:eastAsia="zh-CN"/>
        </w:rPr>
        <w:t>日</w:t>
      </w:r>
    </w:p>
    <w:p w14:paraId="6E0AA6F7">
      <w:pPr>
        <w:pStyle w:val="4"/>
        <w:pageBreakBefore w:val="0"/>
        <w:wordWrap/>
        <w:topLinePunct w:val="0"/>
        <w:bidi w:val="0"/>
        <w:spacing w:line="360" w:lineRule="auto"/>
        <w:rPr>
          <w:rFonts w:hint="eastAsia" w:ascii="仿宋" w:hAnsi="仿宋" w:eastAsia="仿宋" w:cs="仿宋"/>
          <w:b/>
          <w:color w:val="auto"/>
          <w:lang w:eastAsia="zh-CN"/>
        </w:rPr>
      </w:pPr>
      <w:bookmarkStart w:id="495" w:name="_Toc483428099_WPSOffice_Level3"/>
      <w:r>
        <w:rPr>
          <w:rFonts w:hint="eastAsia" w:ascii="仿宋" w:hAnsi="仿宋" w:eastAsia="仿宋" w:cs="仿宋"/>
          <w:b/>
          <w:color w:val="auto"/>
          <w:lang w:eastAsia="zh-CN"/>
        </w:rPr>
        <w:t>备注：</w:t>
      </w:r>
      <w:bookmarkEnd w:id="495"/>
    </w:p>
    <w:p w14:paraId="37F835D8">
      <w:pPr>
        <w:pStyle w:val="4"/>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1、最低工资标准按</w:t>
      </w:r>
      <w:r>
        <w:rPr>
          <w:rFonts w:hint="eastAsia" w:ascii="仿宋" w:hAnsi="仿宋" w:eastAsia="仿宋" w:cs="仿宋"/>
          <w:b/>
          <w:color w:val="auto"/>
          <w:lang w:val="en-US" w:eastAsia="zh-CN"/>
        </w:rPr>
        <w:t>最新</w:t>
      </w:r>
      <w:r>
        <w:rPr>
          <w:rFonts w:hint="eastAsia" w:ascii="仿宋" w:hAnsi="仿宋" w:eastAsia="仿宋" w:cs="仿宋"/>
          <w:b/>
          <w:color w:val="auto"/>
          <w:lang w:eastAsia="zh-CN"/>
        </w:rPr>
        <w:t>《河南省人民政府关于调整河南省最低工资标准的通知》执行。</w:t>
      </w:r>
    </w:p>
    <w:p w14:paraId="0802829F">
      <w:pPr>
        <w:pStyle w:val="4"/>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2、岗位人员工资、社会保险费、税金取费不得低于国家规定的最低标准。</w:t>
      </w:r>
    </w:p>
    <w:p w14:paraId="1458BA9A">
      <w:pPr>
        <w:pStyle w:val="4"/>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3、若有特殊情况，请予以备注说明并提供相关证明材料。</w:t>
      </w:r>
    </w:p>
    <w:p w14:paraId="664032B9">
      <w:pPr>
        <w:pStyle w:val="4"/>
        <w:pageBreakBefore w:val="0"/>
        <w:wordWrap/>
        <w:topLinePunct w:val="0"/>
        <w:bidi w:val="0"/>
        <w:spacing w:line="360" w:lineRule="auto"/>
        <w:rPr>
          <w:rFonts w:hint="eastAsia" w:ascii="仿宋" w:hAnsi="仿宋" w:eastAsia="仿宋" w:cs="仿宋"/>
          <w:b/>
          <w:color w:val="auto"/>
          <w:lang w:eastAsia="zh-CN"/>
        </w:rPr>
      </w:pPr>
      <w:r>
        <w:rPr>
          <w:rFonts w:hint="eastAsia" w:ascii="仿宋" w:hAnsi="仿宋" w:eastAsia="仿宋" w:cs="仿宋"/>
          <w:b/>
          <w:color w:val="auto"/>
          <w:lang w:eastAsia="zh-CN"/>
        </w:rPr>
        <w:t>4、格式供参考，不作统一规定，可由投标人自行设计。</w:t>
      </w:r>
    </w:p>
    <w:p w14:paraId="7A4F827B">
      <w:pPr>
        <w:pStyle w:val="4"/>
        <w:pageBreakBefore w:val="0"/>
        <w:wordWrap/>
        <w:topLinePunct w:val="0"/>
        <w:bidi w:val="0"/>
        <w:spacing w:line="360" w:lineRule="auto"/>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5、分项报价一览表中应包含热力交换站站房管理与设施设备维护保养、地源热泵空调维护保养、二次加压站房管理和水箱清洗、高低压电气设备校试验及维护保养、校医院污水站房维护、室外垃圾桶购置及垃圾清运、绿化景观改造提升等7个专项费用（最高限价共计：1121200.00元人民币）。</w:t>
      </w:r>
    </w:p>
    <w:p w14:paraId="35510897">
      <w:pPr>
        <w:rPr>
          <w:rFonts w:hint="eastAsia" w:ascii="仿宋" w:hAnsi="仿宋" w:eastAsia="仿宋" w:cs="仿宋"/>
          <w:b/>
          <w:bCs/>
          <w:sz w:val="28"/>
          <w:szCs w:val="28"/>
          <w:lang w:val="en-US" w:eastAsia="zh-CN"/>
        </w:rPr>
      </w:pPr>
      <w:bookmarkStart w:id="496" w:name="_Toc821511257"/>
      <w:bookmarkStart w:id="497" w:name="_Toc1251267079"/>
      <w:bookmarkStart w:id="498" w:name="_Toc131578556"/>
      <w:bookmarkStart w:id="499" w:name="_Toc314692236"/>
      <w:bookmarkStart w:id="500" w:name="_Toc300470794"/>
      <w:bookmarkStart w:id="501" w:name="_Toc441969721_WPSOffice_Level2"/>
      <w:r>
        <w:rPr>
          <w:rFonts w:hint="eastAsia" w:ascii="仿宋" w:hAnsi="仿宋" w:eastAsia="仿宋" w:cs="仿宋"/>
          <w:b/>
          <w:bCs/>
          <w:sz w:val="28"/>
          <w:szCs w:val="28"/>
          <w:lang w:val="en-US" w:eastAsia="zh-CN"/>
        </w:rPr>
        <w:br w:type="page"/>
      </w:r>
    </w:p>
    <w:p w14:paraId="01C9E484">
      <w:pPr>
        <w:jc w:val="center"/>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bookmarkEnd w:id="487"/>
      <w:bookmarkEnd w:id="488"/>
      <w:bookmarkEnd w:id="489"/>
      <w:bookmarkEnd w:id="490"/>
      <w:bookmarkEnd w:id="491"/>
      <w:bookmarkEnd w:id="492"/>
      <w:bookmarkEnd w:id="496"/>
      <w:bookmarkEnd w:id="497"/>
      <w:bookmarkEnd w:id="498"/>
      <w:r>
        <w:rPr>
          <w:rFonts w:hint="eastAsia" w:ascii="仿宋" w:hAnsi="仿宋" w:eastAsia="仿宋" w:cs="仿宋"/>
          <w:b/>
          <w:bCs/>
          <w:sz w:val="28"/>
          <w:szCs w:val="28"/>
          <w:lang w:val="en-US" w:eastAsia="zh-CN"/>
        </w:rPr>
        <w:t>企业声明函</w:t>
      </w:r>
    </w:p>
    <w:p w14:paraId="74D49D95">
      <w:pPr>
        <w:pageBreakBefore w:val="0"/>
        <w:wordWrap/>
        <w:topLinePunct w:val="0"/>
        <w:bidi w:val="0"/>
        <w:spacing w:line="360" w:lineRule="auto"/>
        <w:jc w:val="center"/>
        <w:rPr>
          <w:rFonts w:hint="eastAsia" w:ascii="仿宋" w:hAnsi="仿宋" w:eastAsia="仿宋" w:cs="仿宋"/>
          <w:b/>
          <w:bCs/>
          <w:color w:val="auto"/>
          <w:sz w:val="28"/>
          <w:szCs w:val="28"/>
          <w:lang w:val="en-US" w:eastAsia="zh-CN"/>
        </w:rPr>
      </w:pPr>
      <w:bookmarkStart w:id="502" w:name="_Toc1299793528_WPSOffice_Level2"/>
      <w:r>
        <w:rPr>
          <w:rFonts w:hint="eastAsia" w:ascii="仿宋" w:hAnsi="仿宋" w:eastAsia="仿宋" w:cs="仿宋"/>
          <w:b/>
          <w:bCs/>
          <w:color w:val="auto"/>
          <w:sz w:val="28"/>
          <w:szCs w:val="28"/>
          <w:lang w:val="en-US" w:eastAsia="zh-CN"/>
        </w:rPr>
        <w:t>中小企业声明函（工程、服务）</w:t>
      </w:r>
      <w:bookmarkEnd w:id="502"/>
    </w:p>
    <w:p w14:paraId="47007186">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（投标人属于小型、微型企业的填写，不属于的无需填写或不提供此项内容）</w:t>
      </w:r>
    </w:p>
    <w:p w14:paraId="2D9955B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本公司（联合体）郑重声明，根据《政府采购促进中小企业发展管理办法》（财库﹝2020﹞46 号）的规定，本公司（联合体）参加</w:t>
      </w:r>
      <w:r>
        <w:rPr>
          <w:rFonts w:hint="eastAsia" w:ascii="仿宋" w:hAnsi="仿宋" w:eastAsia="仿宋" w:cs="仿宋"/>
          <w:color w:val="auto"/>
          <w:sz w:val="28"/>
          <w:szCs w:val="28"/>
          <w:u w:val="single"/>
          <w:lang w:val="en-US" w:eastAsia="zh-CN"/>
        </w:rPr>
        <w:t>河南财经政法大学</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u w:val="single"/>
          <w:lang w:val="en" w:eastAsia="zh-CN"/>
        </w:rPr>
        <w:t>河南财经政法大学郑东校区物业服务项目</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0341A161">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 </w:t>
      </w:r>
      <w:r>
        <w:rPr>
          <w:rFonts w:hint="eastAsia" w:ascii="仿宋" w:hAnsi="仿宋" w:eastAsia="仿宋" w:cs="仿宋"/>
          <w:i/>
          <w:iCs/>
          <w:color w:val="auto"/>
          <w:sz w:val="28"/>
          <w:szCs w:val="28"/>
          <w:u w:val="single"/>
          <w:lang w:eastAsia="zh-CN"/>
        </w:rPr>
        <w:t>（标的名称）</w:t>
      </w:r>
      <w:r>
        <w:rPr>
          <w:rFonts w:hint="eastAsia" w:ascii="仿宋" w:hAnsi="仿宋" w:eastAsia="仿宋" w:cs="仿宋"/>
          <w:color w:val="auto"/>
          <w:sz w:val="28"/>
          <w:szCs w:val="28"/>
          <w:lang w:eastAsia="zh-CN"/>
        </w:rPr>
        <w:t>，属于</w:t>
      </w:r>
      <w:r>
        <w:rPr>
          <w:rFonts w:hint="eastAsia" w:ascii="仿宋" w:hAnsi="仿宋" w:eastAsia="仿宋" w:cs="仿宋"/>
          <w:i/>
          <w:iCs/>
          <w:color w:val="auto"/>
          <w:sz w:val="28"/>
          <w:szCs w:val="28"/>
          <w:u w:val="single"/>
          <w:lang w:eastAsia="zh-CN"/>
        </w:rPr>
        <w:t>（采购文件中明确的所属行业）</w:t>
      </w:r>
      <w:r>
        <w:rPr>
          <w:rFonts w:hint="eastAsia" w:ascii="仿宋" w:hAnsi="仿宋" w:eastAsia="仿宋" w:cs="仿宋"/>
          <w:color w:val="auto"/>
          <w:sz w:val="28"/>
          <w:szCs w:val="28"/>
          <w:lang w:eastAsia="zh-CN"/>
        </w:rPr>
        <w:t>； 承建（承接）企业为</w:t>
      </w:r>
      <w:r>
        <w:rPr>
          <w:rFonts w:hint="eastAsia" w:ascii="仿宋" w:hAnsi="仿宋" w:eastAsia="仿宋" w:cs="仿宋"/>
          <w:i/>
          <w:iCs/>
          <w:color w:val="auto"/>
          <w:sz w:val="28"/>
          <w:szCs w:val="28"/>
          <w:u w:val="single"/>
          <w:lang w:eastAsia="zh-CN"/>
        </w:rPr>
        <w:t>（企业名称）</w:t>
      </w:r>
      <w:r>
        <w:rPr>
          <w:rFonts w:hint="eastAsia" w:ascii="仿宋" w:hAnsi="仿宋" w:eastAsia="仿宋" w:cs="仿宋"/>
          <w:color w:val="auto"/>
          <w:sz w:val="28"/>
          <w:szCs w:val="28"/>
          <w:lang w:eastAsia="zh-CN"/>
        </w:rPr>
        <w:t>，从业人员</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人，营业收入为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万元，资产总额为</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万元，属于</w:t>
      </w:r>
      <w:r>
        <w:rPr>
          <w:rFonts w:hint="eastAsia" w:ascii="仿宋" w:hAnsi="仿宋" w:eastAsia="仿宋" w:cs="仿宋"/>
          <w:i/>
          <w:iCs/>
          <w:color w:val="auto"/>
          <w:sz w:val="28"/>
          <w:szCs w:val="28"/>
          <w:u w:val="single"/>
          <w:lang w:eastAsia="zh-CN"/>
        </w:rPr>
        <w:t>（中型企业、小型企业、微型企业）</w:t>
      </w:r>
      <w:r>
        <w:rPr>
          <w:rFonts w:hint="eastAsia" w:ascii="仿宋" w:hAnsi="仿宋" w:eastAsia="仿宋" w:cs="仿宋"/>
          <w:color w:val="auto"/>
          <w:sz w:val="28"/>
          <w:szCs w:val="28"/>
          <w:lang w:eastAsia="zh-CN"/>
        </w:rPr>
        <w:t>；</w:t>
      </w:r>
    </w:p>
    <w:p w14:paraId="5F0ACF2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p>
    <w:p w14:paraId="77D01C87">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以上企业，不属于大企业的分支机构，不存在控股股东为大企业的情形，也不存在与大企业的负责人为同一人的情形。</w:t>
      </w:r>
    </w:p>
    <w:p w14:paraId="0AB53B52">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本企业对上述声明内容的真实性负责。如有虚假，将依法承担相应责任。</w:t>
      </w:r>
    </w:p>
    <w:p w14:paraId="26CBAC43">
      <w:pPr>
        <w:pageBreakBefore w:val="0"/>
        <w:wordWrap/>
        <w:topLinePunct w:val="0"/>
        <w:bidi w:val="0"/>
        <w:spacing w:before="100" w:after="100" w:line="360" w:lineRule="auto"/>
        <w:ind w:firstLine="396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投标人（企业电子签章）：</w:t>
      </w:r>
      <w:r>
        <w:rPr>
          <w:rFonts w:hint="eastAsia" w:ascii="仿宋" w:hAnsi="仿宋" w:eastAsia="仿宋" w:cs="仿宋"/>
          <w:color w:val="auto"/>
          <w:kern w:val="0"/>
          <w:sz w:val="28"/>
          <w:szCs w:val="28"/>
          <w:u w:val="single"/>
          <w:lang w:val="en-US" w:eastAsia="zh-CN"/>
        </w:rPr>
        <w:t xml:space="preserve">           </w:t>
      </w:r>
    </w:p>
    <w:p w14:paraId="0BE8072C">
      <w:pPr>
        <w:pageBreakBefore w:val="0"/>
        <w:wordWrap/>
        <w:topLinePunct w:val="0"/>
        <w:bidi w:val="0"/>
        <w:spacing w:before="100" w:after="100" w:line="360" w:lineRule="auto"/>
        <w:ind w:firstLine="3720"/>
        <w:jc w:val="left"/>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eastAsia="zh-CN"/>
        </w:rPr>
        <w:t>　日　期：</w:t>
      </w:r>
      <w:r>
        <w:rPr>
          <w:rFonts w:hint="eastAsia" w:ascii="仿宋" w:hAnsi="仿宋" w:eastAsia="仿宋" w:cs="仿宋"/>
          <w:color w:val="auto"/>
          <w:kern w:val="0"/>
          <w:sz w:val="28"/>
          <w:szCs w:val="28"/>
          <w:u w:val="single"/>
          <w:lang w:val="en-US" w:eastAsia="zh-CN"/>
        </w:rPr>
        <w:t xml:space="preserve">             </w:t>
      </w:r>
    </w:p>
    <w:p w14:paraId="154F93E5">
      <w:pPr>
        <w:pStyle w:val="228"/>
        <w:pageBreakBefore w:val="0"/>
        <w:pBdr>
          <w:bottom w:val="double" w:color="auto" w:sz="4" w:space="0"/>
        </w:pBdr>
        <w:wordWrap/>
        <w:topLinePunct w:val="0"/>
        <w:bidi w:val="0"/>
        <w:spacing w:line="360" w:lineRule="auto"/>
        <w:rPr>
          <w:rFonts w:hint="eastAsia" w:ascii="仿宋" w:hAnsi="仿宋" w:eastAsia="仿宋" w:cs="仿宋"/>
          <w:color w:val="auto"/>
          <w:kern w:val="0"/>
          <w:sz w:val="28"/>
          <w:szCs w:val="28"/>
          <w:u w:val="single"/>
        </w:rPr>
      </w:pPr>
    </w:p>
    <w:p w14:paraId="6D02F0BD">
      <w:pPr>
        <w:pageBreakBefore w:val="0"/>
        <w:widowControl w:val="0"/>
        <w:wordWrap/>
        <w:topLinePunct w:val="0"/>
        <w:bidi w:val="0"/>
        <w:spacing w:line="36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说明：</w:t>
      </w:r>
    </w:p>
    <w:p w14:paraId="41C786F3">
      <w:pPr>
        <w:pageBreakBefore w:val="0"/>
        <w:wordWrap/>
        <w:topLinePunct w:val="0"/>
        <w:bidi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（1）从业人员、营业收入、资产总额填报上一年度数据，无上一年度数据的新成立企业可不填报。</w:t>
      </w:r>
    </w:p>
    <w:p w14:paraId="0B755C55">
      <w:pPr>
        <w:pageBreakBefore w:val="0"/>
        <w:widowControl w:val="0"/>
        <w:wordWrap/>
        <w:topLinePunct w:val="0"/>
        <w:bidi w:val="0"/>
        <w:spacing w:line="360" w:lineRule="auto"/>
        <w:ind w:firstLine="420" w:firstLineChars="20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lang w:val="en-US" w:eastAsia="zh-CN"/>
        </w:rPr>
        <w:t>中小企业划型标准见文件末附件。</w:t>
      </w:r>
    </w:p>
    <w:p w14:paraId="4CF14A1A">
      <w:pPr>
        <w:pStyle w:val="8"/>
        <w:pageBreakBefore w:val="0"/>
        <w:wordWrap/>
        <w:topLinePunct w:val="0"/>
        <w:bidi w:val="0"/>
        <w:spacing w:line="360" w:lineRule="auto"/>
        <w:jc w:val="center"/>
        <w:rPr>
          <w:rFonts w:hint="eastAsia" w:ascii="仿宋" w:hAnsi="仿宋" w:eastAsia="仿宋" w:cs="仿宋"/>
          <w:color w:val="auto"/>
          <w:lang w:eastAsia="zh-CN"/>
        </w:rPr>
      </w:pPr>
      <w:r>
        <w:rPr>
          <w:rFonts w:hint="eastAsia" w:ascii="仿宋" w:hAnsi="仿宋" w:eastAsia="仿宋" w:cs="仿宋"/>
          <w:color w:val="auto"/>
          <w:lang w:eastAsia="zh-CN"/>
        </w:rPr>
        <w:br w:type="page"/>
      </w:r>
      <w:bookmarkStart w:id="503" w:name="_Toc64259737_WPSOffice_Level3"/>
      <w:bookmarkStart w:id="504" w:name="_Toc430357775"/>
      <w:bookmarkStart w:id="505" w:name="_Toc596959550"/>
      <w:bookmarkStart w:id="506" w:name="_Toc709139859_WPSOffice_Level2"/>
      <w:bookmarkStart w:id="507" w:name="_Toc71543331"/>
      <w:bookmarkStart w:id="508" w:name="_Toc1376471950"/>
      <w:bookmarkStart w:id="509" w:name="_Toc1555514676"/>
      <w:r>
        <w:rPr>
          <w:rFonts w:hint="eastAsia" w:ascii="仿宋" w:hAnsi="仿宋" w:eastAsia="仿宋" w:cs="仿宋"/>
          <w:color w:val="auto"/>
          <w:sz w:val="28"/>
          <w:szCs w:val="28"/>
          <w:lang w:eastAsia="zh-CN"/>
        </w:rPr>
        <w:t>投标人监狱企业声明函</w:t>
      </w:r>
      <w:bookmarkEnd w:id="503"/>
      <w:bookmarkEnd w:id="504"/>
      <w:bookmarkEnd w:id="505"/>
      <w:bookmarkEnd w:id="506"/>
      <w:bookmarkEnd w:id="507"/>
      <w:bookmarkEnd w:id="508"/>
      <w:bookmarkEnd w:id="509"/>
    </w:p>
    <w:p w14:paraId="10FBDA97">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（投标人属于监狱企业的填写，不属于的无需填写或不提供此项内容）</w:t>
      </w:r>
    </w:p>
    <w:p w14:paraId="0A46E9EC">
      <w:pPr>
        <w:pStyle w:val="2"/>
        <w:pageBreakBefore w:val="0"/>
        <w:wordWrap/>
        <w:topLinePunct w:val="0"/>
        <w:bidi w:val="0"/>
        <w:spacing w:line="360" w:lineRule="auto"/>
        <w:rPr>
          <w:rFonts w:hint="eastAsia" w:ascii="仿宋" w:hAnsi="仿宋" w:eastAsia="仿宋" w:cs="仿宋"/>
          <w:color w:val="auto"/>
        </w:rPr>
      </w:pPr>
    </w:p>
    <w:p w14:paraId="35BDBDBB">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本企业（单位）郑重声明下列事项（按照实际情况勾选或填空）：</w:t>
      </w:r>
    </w:p>
    <w:p w14:paraId="70D2AE65">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本企业（单位）为直接投标人，提供本企业（单位）服务。本企业（单位）</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（请填写：是、不是）监狱企业。后附省级以上监狱管理局、戒毒管理局（含新疆生产建设兵团）出具的属于监狱企业的证明文件。</w:t>
      </w:r>
    </w:p>
    <w:p w14:paraId="7A482760">
      <w:pPr>
        <w:pageBreakBefore w:val="0"/>
        <w:wordWrap/>
        <w:topLinePunct w:val="0"/>
        <w:bidi w:val="0"/>
        <w:spacing w:before="100" w:after="100" w:line="360" w:lineRule="auto"/>
        <w:ind w:firstLine="48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本企业（单位）对上述声明的真实性负责。如有虚假，将依法承担相应责任。</w:t>
      </w:r>
    </w:p>
    <w:p w14:paraId="1748FFCB">
      <w:pPr>
        <w:pageBreakBefore w:val="0"/>
        <w:wordWrap/>
        <w:topLinePunct w:val="0"/>
        <w:bidi w:val="0"/>
        <w:spacing w:before="100" w:after="100" w:line="360" w:lineRule="auto"/>
        <w:jc w:val="left"/>
        <w:rPr>
          <w:rFonts w:hint="eastAsia" w:ascii="仿宋" w:hAnsi="仿宋" w:eastAsia="仿宋" w:cs="仿宋"/>
          <w:color w:val="auto"/>
          <w:kern w:val="0"/>
          <w:sz w:val="28"/>
          <w:szCs w:val="28"/>
          <w:lang w:val="en-US" w:eastAsia="zh-CN"/>
        </w:rPr>
      </w:pPr>
    </w:p>
    <w:p w14:paraId="358AC158">
      <w:pPr>
        <w:pageBreakBefore w:val="0"/>
        <w:wordWrap/>
        <w:topLinePunct w:val="0"/>
        <w:bidi w:val="0"/>
        <w:spacing w:before="100" w:after="100" w:line="360" w:lineRule="auto"/>
        <w:jc w:val="left"/>
        <w:rPr>
          <w:rFonts w:hint="eastAsia" w:ascii="仿宋" w:hAnsi="仿宋" w:eastAsia="仿宋" w:cs="仿宋"/>
          <w:color w:val="auto"/>
          <w:kern w:val="0"/>
          <w:sz w:val="28"/>
          <w:szCs w:val="28"/>
          <w:lang w:val="en-US" w:eastAsia="zh-CN"/>
        </w:rPr>
      </w:pPr>
    </w:p>
    <w:p w14:paraId="6D79084E">
      <w:pPr>
        <w:pageBreakBefore w:val="0"/>
        <w:wordWrap/>
        <w:topLinePunct w:val="0"/>
        <w:bidi w:val="0"/>
        <w:spacing w:line="360" w:lineRule="auto"/>
        <w:rPr>
          <w:rFonts w:hint="eastAsia" w:ascii="仿宋" w:hAnsi="仿宋" w:eastAsia="仿宋" w:cs="仿宋"/>
          <w:b/>
          <w:bCs/>
          <w:color w:val="auto"/>
          <w:sz w:val="28"/>
          <w:szCs w:val="28"/>
          <w:lang w:val="en-US" w:eastAsia="zh-CN"/>
        </w:rPr>
      </w:pPr>
    </w:p>
    <w:p w14:paraId="6564AB5B">
      <w:pPr>
        <w:pageBreakBefore w:val="0"/>
        <w:wordWrap/>
        <w:topLinePunct w:val="0"/>
        <w:bidi w:val="0"/>
        <w:spacing w:before="100" w:after="100" w:line="360" w:lineRule="auto"/>
        <w:ind w:firstLine="396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投标人（企业电子签章）：</w:t>
      </w:r>
      <w:r>
        <w:rPr>
          <w:rFonts w:hint="eastAsia" w:ascii="仿宋" w:hAnsi="仿宋" w:eastAsia="仿宋" w:cs="仿宋"/>
          <w:color w:val="auto"/>
          <w:kern w:val="0"/>
          <w:sz w:val="28"/>
          <w:szCs w:val="28"/>
          <w:u w:val="single"/>
          <w:lang w:val="en-US" w:eastAsia="zh-CN"/>
        </w:rPr>
        <w:t xml:space="preserve">           </w:t>
      </w:r>
    </w:p>
    <w:p w14:paraId="05CFABC1">
      <w:pPr>
        <w:pageBreakBefore w:val="0"/>
        <w:wordWrap/>
        <w:topLinePunct w:val="0"/>
        <w:bidi w:val="0"/>
        <w:spacing w:before="100" w:after="100" w:line="360" w:lineRule="auto"/>
        <w:ind w:firstLine="3720"/>
        <w:jc w:val="left"/>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lang w:eastAsia="zh-CN"/>
        </w:rPr>
        <w:t>　日　期：</w:t>
      </w:r>
      <w:r>
        <w:rPr>
          <w:rFonts w:hint="eastAsia" w:ascii="仿宋" w:hAnsi="仿宋" w:eastAsia="仿宋" w:cs="仿宋"/>
          <w:color w:val="auto"/>
          <w:kern w:val="0"/>
          <w:sz w:val="28"/>
          <w:szCs w:val="28"/>
          <w:u w:val="single"/>
          <w:lang w:val="en-US" w:eastAsia="zh-CN"/>
        </w:rPr>
        <w:t xml:space="preserve">             </w:t>
      </w:r>
    </w:p>
    <w:p w14:paraId="3BE7AF64">
      <w:pPr>
        <w:pStyle w:val="8"/>
        <w:pageBreakBefore w:val="0"/>
        <w:wordWrap/>
        <w:topLinePunct w:val="0"/>
        <w:bidi w:val="0"/>
        <w:spacing w:line="360" w:lineRule="auto"/>
        <w:jc w:val="center"/>
        <w:rPr>
          <w:rFonts w:hint="eastAsia" w:ascii="仿宋" w:hAnsi="仿宋" w:eastAsia="仿宋" w:cs="仿宋"/>
          <w:color w:val="auto"/>
          <w:lang w:eastAsia="zh-CN"/>
        </w:rPr>
      </w:pPr>
      <w:r>
        <w:rPr>
          <w:rFonts w:hint="eastAsia" w:ascii="仿宋" w:hAnsi="仿宋" w:eastAsia="仿宋" w:cs="仿宋"/>
          <w:color w:val="auto"/>
          <w:highlight w:val="green"/>
          <w:lang w:eastAsia="zh-CN"/>
        </w:rPr>
        <w:br w:type="page"/>
      </w:r>
      <w:bookmarkStart w:id="510" w:name="_Toc1632685049"/>
      <w:bookmarkStart w:id="511" w:name="_Toc415104894_WPSOffice_Level3"/>
      <w:bookmarkStart w:id="512" w:name="_Toc364095986"/>
      <w:bookmarkStart w:id="513" w:name="_Toc728679071"/>
      <w:bookmarkStart w:id="514" w:name="_Toc894210698_WPSOffice_Level2"/>
      <w:r>
        <w:rPr>
          <w:rFonts w:hint="eastAsia" w:ascii="仿宋" w:hAnsi="仿宋" w:eastAsia="仿宋" w:cs="仿宋"/>
          <w:color w:val="auto"/>
          <w:sz w:val="28"/>
          <w:szCs w:val="28"/>
          <w:lang w:eastAsia="zh-CN"/>
        </w:rPr>
        <w:t>残疾人福利性单位声明函</w:t>
      </w:r>
      <w:bookmarkEnd w:id="510"/>
      <w:bookmarkEnd w:id="511"/>
      <w:bookmarkEnd w:id="512"/>
      <w:bookmarkEnd w:id="513"/>
      <w:bookmarkEnd w:id="514"/>
    </w:p>
    <w:p w14:paraId="5DFEA875">
      <w:pPr>
        <w:pageBreakBefore w:val="0"/>
        <w:wordWrap/>
        <w:topLinePunct w:val="0"/>
        <w:bidi w:val="0"/>
        <w:spacing w:line="36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（投标人属于残疾人福利性单位的填写，不属于的无需填写或不提供此项内容）</w:t>
      </w:r>
    </w:p>
    <w:p w14:paraId="6383439F">
      <w:pPr>
        <w:pStyle w:val="2"/>
        <w:pageBreakBefore w:val="0"/>
        <w:wordWrap/>
        <w:topLinePunct w:val="0"/>
        <w:bidi w:val="0"/>
        <w:spacing w:line="360" w:lineRule="auto"/>
        <w:rPr>
          <w:rFonts w:hint="eastAsia" w:ascii="仿宋" w:hAnsi="仿宋" w:eastAsia="仿宋" w:cs="仿宋"/>
          <w:color w:val="auto"/>
        </w:rPr>
      </w:pPr>
    </w:p>
    <w:p w14:paraId="100F6F36">
      <w:pPr>
        <w:pageBreakBefore w:val="0"/>
        <w:wordWrap/>
        <w:topLinePunct w:val="0"/>
        <w:bidi w:val="0"/>
        <w:spacing w:line="360" w:lineRule="auto"/>
        <w:ind w:firstLine="567"/>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本单位郑重声明，根据《财政部 民政部 中国残疾人联合会关于促进残疾人就业政府采购政策的通知》（财库〔</w:t>
      </w:r>
      <w:r>
        <w:rPr>
          <w:rFonts w:hint="eastAsia" w:ascii="仿宋" w:hAnsi="仿宋" w:eastAsia="仿宋" w:cs="仿宋"/>
          <w:color w:val="auto"/>
          <w:kern w:val="0"/>
          <w:sz w:val="28"/>
          <w:szCs w:val="28"/>
          <w:lang w:val="en-US" w:eastAsia="zh-CN"/>
        </w:rPr>
        <w:t>2017</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141</w:t>
      </w:r>
      <w:r>
        <w:rPr>
          <w:rFonts w:hint="eastAsia" w:ascii="仿宋" w:hAnsi="仿宋" w:eastAsia="仿宋" w:cs="仿宋"/>
          <w:color w:val="auto"/>
          <w:kern w:val="0"/>
          <w:sz w:val="28"/>
          <w:szCs w:val="28"/>
          <w:lang w:eastAsia="zh-CN"/>
        </w:rPr>
        <w:t>号）的规定，本单位为符合条件的残疾人福利性单位，且本单位参加</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单位的</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eastAsia="zh-CN"/>
        </w:rPr>
        <w:t>项目采购活动提供本单位制造的货物（由本单位承担工程</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lang w:eastAsia="zh-CN"/>
        </w:rPr>
        <w:t>提供服务），或者提供其他残疾人福利性单位制造的货物（不包括使用非残疾人福利性单位注册商标的货物）。</w:t>
      </w:r>
    </w:p>
    <w:p w14:paraId="3FF9D007">
      <w:pPr>
        <w:pageBreakBefore w:val="0"/>
        <w:wordWrap/>
        <w:topLinePunct w:val="0"/>
        <w:bidi w:val="0"/>
        <w:spacing w:line="360" w:lineRule="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本单位对上述声明的真实性负责。如有虚假，将依法承担相应责任。</w:t>
      </w:r>
    </w:p>
    <w:p w14:paraId="58AE24B0">
      <w:pPr>
        <w:pageBreakBefore w:val="0"/>
        <w:wordWrap/>
        <w:topLinePunct w:val="0"/>
        <w:bidi w:val="0"/>
        <w:spacing w:line="360" w:lineRule="auto"/>
        <w:ind w:left="1080" w:hanging="540"/>
        <w:jc w:val="center"/>
        <w:rPr>
          <w:rFonts w:hint="eastAsia" w:ascii="仿宋" w:hAnsi="仿宋" w:eastAsia="仿宋" w:cs="仿宋"/>
          <w:color w:val="auto"/>
          <w:kern w:val="0"/>
          <w:sz w:val="24"/>
          <w:szCs w:val="24"/>
          <w:lang w:val="en-US" w:eastAsia="zh-CN"/>
        </w:rPr>
      </w:pPr>
    </w:p>
    <w:p w14:paraId="17807D64">
      <w:pPr>
        <w:pageBreakBefore w:val="0"/>
        <w:wordWrap/>
        <w:topLinePunct w:val="0"/>
        <w:bidi w:val="0"/>
        <w:spacing w:line="360" w:lineRule="auto"/>
        <w:ind w:left="1080" w:hanging="540"/>
        <w:jc w:val="center"/>
        <w:rPr>
          <w:rFonts w:hint="eastAsia" w:ascii="仿宋" w:hAnsi="仿宋" w:eastAsia="仿宋" w:cs="仿宋"/>
          <w:color w:val="auto"/>
          <w:kern w:val="0"/>
          <w:sz w:val="24"/>
          <w:szCs w:val="24"/>
          <w:lang w:val="en-US" w:eastAsia="zh-CN"/>
        </w:rPr>
      </w:pPr>
    </w:p>
    <w:p w14:paraId="5187E8E0">
      <w:pPr>
        <w:pageBreakBefore w:val="0"/>
        <w:wordWrap/>
        <w:topLinePunct w:val="0"/>
        <w:bidi w:val="0"/>
        <w:spacing w:line="360" w:lineRule="auto"/>
        <w:ind w:left="645" w:firstLine="264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4"/>
          <w:szCs w:val="24"/>
          <w:lang w:eastAsia="zh-CN"/>
        </w:rPr>
        <w:t xml:space="preserve">   </w:t>
      </w:r>
      <w:r>
        <w:rPr>
          <w:rFonts w:hint="eastAsia" w:ascii="仿宋" w:hAnsi="仿宋" w:eastAsia="仿宋" w:cs="仿宋"/>
          <w:color w:val="auto"/>
          <w:kern w:val="0"/>
          <w:sz w:val="28"/>
          <w:szCs w:val="28"/>
          <w:lang w:val="en-US" w:eastAsia="zh-CN"/>
        </w:rPr>
        <w:t xml:space="preserve">投标人（企业电子签章）：             </w:t>
      </w:r>
    </w:p>
    <w:p w14:paraId="73FBCB5C">
      <w:pPr>
        <w:pageBreakBefore w:val="0"/>
        <w:wordWrap/>
        <w:topLinePunct w:val="0"/>
        <w:bidi w:val="0"/>
        <w:spacing w:line="360" w:lineRule="auto"/>
        <w:ind w:left="645" w:firstLine="2640"/>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lang w:val="en-US" w:eastAsia="zh-CN"/>
        </w:rPr>
        <w:t>　日　期：</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lang w:val="en-US" w:eastAsia="zh-CN"/>
        </w:rPr>
        <w:t xml:space="preserve">             </w:t>
      </w:r>
    </w:p>
    <w:p w14:paraId="30C2F3A9">
      <w:pPr>
        <w:rPr>
          <w:rFonts w:hint="eastAsia" w:ascii="仿宋" w:hAnsi="仿宋" w:eastAsia="仿宋" w:cs="仿宋"/>
          <w:b/>
          <w:bCs/>
          <w:sz w:val="28"/>
          <w:szCs w:val="28"/>
          <w:lang w:val="zh-TW" w:eastAsia="zh-CN"/>
        </w:rPr>
      </w:pPr>
      <w:r>
        <w:rPr>
          <w:rFonts w:hint="eastAsia" w:ascii="仿宋" w:hAnsi="仿宋" w:eastAsia="仿宋" w:cs="仿宋"/>
          <w:b/>
          <w:bCs/>
          <w:sz w:val="28"/>
          <w:szCs w:val="28"/>
          <w:lang w:val="zh-TW" w:eastAsia="zh-CN"/>
        </w:rPr>
        <w:br w:type="page"/>
      </w:r>
    </w:p>
    <w:p w14:paraId="0511B14A">
      <w:pPr>
        <w:jc w:val="center"/>
        <w:outlineLvl w:val="2"/>
        <w:rPr>
          <w:rFonts w:hint="eastAsia" w:ascii="宋体" w:hAnsi="宋体" w:eastAsia="宋体" w:cs="宋体"/>
          <w:i w:val="0"/>
          <w:caps w:val="0"/>
          <w:color w:val="333333"/>
          <w:spacing w:val="0"/>
          <w:sz w:val="36"/>
          <w:szCs w:val="36"/>
        </w:rPr>
      </w:pPr>
      <w:r>
        <w:rPr>
          <w:rFonts w:hint="eastAsia" w:ascii="仿宋" w:hAnsi="仿宋" w:eastAsia="仿宋" w:cs="仿宋"/>
          <w:b/>
          <w:bCs/>
          <w:sz w:val="28"/>
          <w:szCs w:val="28"/>
          <w:lang w:val="zh-TW" w:eastAsia="zh-CN"/>
        </w:rPr>
        <w:t>关于符合本国产品标准的声明函</w:t>
      </w:r>
    </w:p>
    <w:p w14:paraId="0DBE69DA">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333333"/>
          <w:spacing w:val="0"/>
          <w:sz w:val="24"/>
          <w:szCs w:val="24"/>
        </w:rPr>
      </w:pPr>
    </w:p>
    <w:p w14:paraId="12950D85">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right="0" w:firstLine="560" w:firstLineChars="20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本</w:t>
      </w:r>
      <w:r>
        <w:rPr>
          <w:rFonts w:hint="eastAsia" w:ascii="仿宋_GB2312" w:hAnsi="仿宋_GB2312" w:eastAsia="仿宋_GB2312" w:cs="仿宋_GB2312"/>
          <w:color w:val="auto"/>
          <w:kern w:val="2"/>
          <w:sz w:val="28"/>
          <w:szCs w:val="28"/>
          <w:highlight w:val="none"/>
          <w:u w:val="none"/>
          <w:lang w:val="zh-TW" w:eastAsia="zh-TW" w:bidi="ar-SA"/>
        </w:rPr>
        <w:t>公司（单位）</w:t>
      </w:r>
      <w:r>
        <w:rPr>
          <w:rFonts w:hint="eastAsia" w:ascii="仿宋_GB2312" w:hAnsi="仿宋_GB2312" w:eastAsia="仿宋_GB2312" w:cs="仿宋_GB2312"/>
          <w:color w:val="auto"/>
          <w:kern w:val="2"/>
          <w:sz w:val="28"/>
          <w:szCs w:val="28"/>
          <w:highlight w:val="none"/>
          <w:lang w:val="zh-TW" w:eastAsia="zh-TW" w:bidi="ar-SA"/>
        </w:rPr>
        <w:t>郑重声明，根据《国务院办公厅关于在政府采购中实施本国产品标准及相关政策的通知》（国办发〔2025〕34号）的规定，本公司（单位）提供的以下产品属于本国产品。具体情况如下：</w:t>
      </w:r>
    </w:p>
    <w:p w14:paraId="5534F32B">
      <w:pPr>
        <w:pStyle w:val="4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right="0" w:rightChars="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（产品名称1）</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14:paraId="4982962F">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u w:val="none"/>
          <w:lang w:val="en-US" w:eastAsia="zh-CN" w:bidi="ar-SA"/>
        </w:rPr>
        <w:t xml:space="preserve"> 2.</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，生产厂为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（厂名）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，厂址为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（生产厂址）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的中国境内生产的组件成本占比≥</w:t>
      </w:r>
      <w:r>
        <w:rPr>
          <w:rFonts w:hint="eastAsia" w:ascii="仿宋_GB2312" w:hAnsi="仿宋_GB2312" w:eastAsia="仿宋_GB2312" w:cs="仿宋_GB2312"/>
          <w:color w:val="auto"/>
          <w:kern w:val="2"/>
          <w:sz w:val="28"/>
          <w:szCs w:val="28"/>
          <w:highlight w:val="none"/>
          <w:u w:val="single"/>
          <w:lang w:val="zh-TW" w:eastAsia="zh-TW" w:bidi="ar-SA"/>
        </w:rPr>
        <w:t>（规定比例）</w:t>
      </w:r>
      <w:r>
        <w:rPr>
          <w:rFonts w:hint="eastAsia" w:ascii="仿宋_GB2312" w:hAnsi="仿宋_GB2312" w:eastAsia="仿宋_GB2312" w:cs="仿宋_GB2312"/>
          <w:color w:val="auto"/>
          <w:kern w:val="2"/>
          <w:sz w:val="28"/>
          <w:szCs w:val="28"/>
          <w:highlight w:val="non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（关键组件）</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在中国境内生产。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（产品名称</w:t>
      </w:r>
      <w:r>
        <w:rPr>
          <w:rFonts w:hint="eastAsia" w:ascii="仿宋_GB2312" w:hAnsi="仿宋_GB2312" w:eastAsia="仿宋_GB2312" w:cs="仿宋_GB2312"/>
          <w:color w:val="auto"/>
          <w:kern w:val="2"/>
          <w:sz w:val="28"/>
          <w:szCs w:val="28"/>
          <w:highlight w:val="none"/>
          <w:u w:val="single"/>
          <w:lang w:val="en-US" w:eastAsia="zh-CN" w:bidi="ar-SA"/>
        </w:rPr>
        <w:t>2</w:t>
      </w:r>
      <w:r>
        <w:rPr>
          <w:rFonts w:hint="eastAsia" w:ascii="仿宋_GB2312" w:hAnsi="仿宋_GB2312" w:eastAsia="仿宋_GB2312" w:cs="仿宋_GB2312"/>
          <w:color w:val="auto"/>
          <w:kern w:val="2"/>
          <w:sz w:val="28"/>
          <w:szCs w:val="28"/>
          <w:highlight w:val="none"/>
          <w:u w:val="single"/>
          <w:lang w:val="zh-TW" w:eastAsia="zh-TW"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single"/>
          <w:lang w:val="zh-TW" w:eastAsia="zh-TW" w:bidi="ar-SA"/>
        </w:rPr>
        <w:t>（关键工序）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zh-TW" w:eastAsia="zh-TW" w:bidi="ar-SA"/>
        </w:rPr>
        <w:t>在中国境内完成。</w:t>
      </w:r>
    </w:p>
    <w:p w14:paraId="78A3073B">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w:t>
      </w:r>
    </w:p>
    <w:p w14:paraId="12EECDD2">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460" w:lineRule="exact"/>
        <w:ind w:left="0" w:right="0" w:firstLine="420"/>
        <w:textAlignment w:val="auto"/>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kern w:val="2"/>
          <w:sz w:val="28"/>
          <w:szCs w:val="28"/>
          <w:highlight w:val="none"/>
          <w:lang w:val="zh-TW" w:eastAsia="zh-TW" w:bidi="ar-SA"/>
        </w:rPr>
        <w:t>本公司（单位）对上述声明内容的真实性负责。如有虚假，愿承担相应法律责任。</w:t>
      </w:r>
    </w:p>
    <w:p w14:paraId="51438F3C">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TW" w:eastAsia="zh-TW" w:bidi="ar-SA"/>
        </w:rPr>
        <w:t>公司（单位）名称（盖章）：</w:t>
      </w:r>
      <w:r>
        <w:rPr>
          <w:rFonts w:hint="eastAsia" w:ascii="仿宋_GB2312" w:hAnsi="仿宋_GB2312" w:eastAsia="仿宋_GB2312" w:cs="仿宋_GB2312"/>
          <w:color w:val="auto"/>
          <w:kern w:val="2"/>
          <w:sz w:val="28"/>
          <w:szCs w:val="28"/>
          <w:highlight w:val="none"/>
          <w:lang w:val="en-US" w:eastAsia="zh-CN" w:bidi="ar-SA"/>
        </w:rPr>
        <w:t xml:space="preserve">      </w:t>
      </w:r>
    </w:p>
    <w:p w14:paraId="7A2E2114">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460" w:lineRule="exact"/>
        <w:ind w:left="0" w:right="0" w:firstLine="420"/>
        <w:jc w:val="right"/>
        <w:textAlignment w:val="auto"/>
        <w:rPr>
          <w:rFonts w:hint="default" w:ascii="宋体" w:hAnsi="宋体" w:eastAsia="仿宋_GB2312" w:cs="宋体"/>
          <w:i w:val="0"/>
          <w:caps w:val="0"/>
          <w:color w:val="auto"/>
          <w:spacing w:val="0"/>
          <w:sz w:val="24"/>
          <w:szCs w:val="24"/>
          <w:lang w:val="en-US" w:eastAsia="zh-CN"/>
        </w:rPr>
      </w:pPr>
      <w:r>
        <w:rPr>
          <w:rFonts w:hint="eastAsia" w:ascii="仿宋_GB2312" w:hAnsi="仿宋_GB2312" w:eastAsia="仿宋_GB2312" w:cs="仿宋_GB2312"/>
          <w:color w:val="auto"/>
          <w:kern w:val="2"/>
          <w:sz w:val="28"/>
          <w:szCs w:val="28"/>
          <w:highlight w:val="none"/>
          <w:lang w:val="zh-TW" w:eastAsia="zh-TW" w:bidi="ar-SA"/>
        </w:rPr>
        <w:t>日期：　　　　　年　　月　　日</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14:paraId="5C083CFA">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textAlignment w:val="auto"/>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i w:val="0"/>
          <w:caps w:val="0"/>
          <w:color w:val="auto"/>
          <w:spacing w:val="0"/>
          <w:sz w:val="24"/>
          <w:szCs w:val="24"/>
          <w:shd w:val="clear" w:color="auto" w:fill="FFFFFF"/>
        </w:rPr>
        <w:t>____________________________________________________________________</w:t>
      </w:r>
    </w:p>
    <w:p w14:paraId="4B97D688">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ascii="楷体" w:hAnsi="楷体" w:eastAsia="楷体" w:cs="楷体"/>
          <w:i w:val="0"/>
          <w:caps w:val="0"/>
          <w:color w:val="auto"/>
          <w:spacing w:val="0"/>
          <w:sz w:val="24"/>
          <w:szCs w:val="24"/>
          <w:shd w:val="clear" w:color="auto" w:fill="FFFFFF"/>
        </w:rPr>
        <w:t>1.</w:t>
      </w:r>
      <w:r>
        <w:rPr>
          <w:rFonts w:hint="eastAsia" w:ascii="楷体" w:hAnsi="楷体" w:eastAsia="楷体" w:cs="楷体"/>
          <w:i w:val="0"/>
          <w:caps w:val="0"/>
          <w:color w:val="auto"/>
          <w:spacing w:val="0"/>
          <w:sz w:val="24"/>
          <w:szCs w:val="24"/>
          <w:shd w:val="clear" w:color="auto" w:fill="FFFFFF"/>
          <w:lang w:val="en-US" w:eastAsia="zh-CN"/>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320E6E">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2.中国境内生产的组件成本核算基本规则见《国务院办公厅关于在政府采购中实施本国产品标准及相关政策的通知》（国办发〔2025〕34号）。</w:t>
      </w:r>
    </w:p>
    <w:p w14:paraId="168C47DE">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3.产品如有型号，请在“产品名称”栏一并填写。</w:t>
      </w:r>
    </w:p>
    <w:p w14:paraId="2D320EEF">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4.生产厂名与厂址应与生产厂营业执照载明的相关信息保持一致。</w:t>
      </w:r>
    </w:p>
    <w:p w14:paraId="5B986F92">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5.该产品的中国境内生产的组件成本占比相关要求实施前，“规定比例”栏可不填。</w:t>
      </w:r>
    </w:p>
    <w:p w14:paraId="68F97EE9">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6.该产品的关键组件要求实施前，“关键组件”栏可不填。</w:t>
      </w:r>
    </w:p>
    <w:p w14:paraId="76A33E43">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280" w:lineRule="exact"/>
        <w:ind w:right="0" w:firstLine="480" w:firstLineChars="200"/>
        <w:textAlignment w:val="auto"/>
        <w:rPr>
          <w:rFonts w:hint="eastAsia" w:ascii="楷体" w:hAnsi="楷体" w:eastAsia="楷体" w:cs="楷体"/>
          <w:i w:val="0"/>
          <w:caps w:val="0"/>
          <w:color w:val="auto"/>
          <w:spacing w:val="0"/>
          <w:sz w:val="24"/>
          <w:szCs w:val="24"/>
          <w:shd w:val="clear" w:color="auto" w:fill="FFFFFF"/>
          <w:lang w:val="en-US" w:eastAsia="zh-CN"/>
        </w:rPr>
      </w:pPr>
      <w:r>
        <w:rPr>
          <w:rFonts w:hint="eastAsia" w:ascii="楷体" w:hAnsi="楷体" w:eastAsia="楷体" w:cs="楷体"/>
          <w:i w:val="0"/>
          <w:caps w:val="0"/>
          <w:color w:val="auto"/>
          <w:spacing w:val="0"/>
          <w:sz w:val="24"/>
          <w:szCs w:val="24"/>
          <w:shd w:val="clear" w:color="auto" w:fill="FFFFFF"/>
          <w:lang w:val="en-US" w:eastAsia="zh-CN"/>
        </w:rPr>
        <w:t>7.该产品的关键工序要求实施前，“关键工序”栏可不填。</w:t>
      </w:r>
    </w:p>
    <w:p w14:paraId="6B59BE76">
      <w:pPr>
        <w:jc w:val="center"/>
        <w:outlineLvl w:val="1"/>
        <w:rPr>
          <w:rFonts w:hint="eastAsia" w:ascii="仿宋" w:hAnsi="仿宋" w:eastAsia="仿宋" w:cs="仿宋"/>
          <w:b w:val="0"/>
          <w:color w:val="auto"/>
          <w:sz w:val="30"/>
          <w:szCs w:val="30"/>
          <w:lang w:eastAsia="zh-CN"/>
        </w:rPr>
      </w:pPr>
      <w:r>
        <w:rPr>
          <w:rFonts w:hint="eastAsia" w:ascii="仿宋" w:hAnsi="仿宋" w:eastAsia="仿宋" w:cs="仿宋"/>
          <w:color w:val="auto"/>
          <w:kern w:val="2"/>
          <w:sz w:val="28"/>
          <w:szCs w:val="28"/>
          <w:lang w:val="en-US" w:eastAsia="zh-CN"/>
        </w:rPr>
        <w:br w:type="page"/>
      </w:r>
      <w:r>
        <w:rPr>
          <w:rFonts w:hint="eastAsia" w:ascii="仿宋" w:hAnsi="仿宋" w:eastAsia="仿宋" w:cs="仿宋"/>
          <w:b/>
          <w:bCs/>
          <w:sz w:val="28"/>
          <w:szCs w:val="28"/>
          <w:lang w:val="en-US" w:eastAsia="zh-CN"/>
        </w:rPr>
        <w:t>五、综合证明文件</w:t>
      </w:r>
      <w:bookmarkEnd w:id="499"/>
      <w:bookmarkEnd w:id="500"/>
      <w:bookmarkEnd w:id="501"/>
    </w:p>
    <w:p w14:paraId="1CFEC7CD">
      <w:pPr>
        <w:pageBreakBefore w:val="0"/>
        <w:wordWrap/>
        <w:topLinePunct w:val="0"/>
        <w:bidi w:val="0"/>
        <w:spacing w:line="360" w:lineRule="auto"/>
        <w:ind w:firstLine="480"/>
        <w:jc w:val="left"/>
        <w:rPr>
          <w:rFonts w:hint="eastAsia" w:ascii="仿宋" w:hAnsi="仿宋" w:eastAsia="仿宋" w:cs="仿宋"/>
          <w:color w:val="auto"/>
          <w:lang w:eastAsia="zh-CN"/>
        </w:rPr>
      </w:pPr>
    </w:p>
    <w:p w14:paraId="32D1E491">
      <w:pPr>
        <w:pStyle w:val="9"/>
        <w:rPr>
          <w:rFonts w:ascii="Times New Roman" w:hAnsi="Times New Roman"/>
          <w:b w:val="0"/>
          <w:color w:val="000000"/>
          <w:szCs w:val="28"/>
          <w:lang w:eastAsia="zh-CN"/>
        </w:rPr>
      </w:pPr>
      <w:bookmarkStart w:id="515" w:name="_Toc126373309_WPSOffice_Level3"/>
      <w:bookmarkStart w:id="516" w:name="_Toc766822801"/>
      <w:bookmarkStart w:id="517" w:name="_Toc854016709_WPSOffice_Level3"/>
      <w:bookmarkStart w:id="518" w:name="_Toc554354734"/>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15"/>
      <w:bookmarkEnd w:id="516"/>
    </w:p>
    <w:p w14:paraId="4304AB8D">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根据招标文件要求，提供投标人认证等证书。（提供认证扫描件，扫描不清晰的不得分，招标文件未要求的不需要提供）</w:t>
      </w:r>
    </w:p>
    <w:p w14:paraId="18BD07DF">
      <w:pPr>
        <w:rPr>
          <w:rFonts w:hint="eastAsia"/>
          <w:lang w:eastAsia="zh-CN"/>
        </w:rPr>
      </w:pPr>
    </w:p>
    <w:p w14:paraId="5EEE759D">
      <w:pPr>
        <w:pStyle w:val="9"/>
        <w:rPr>
          <w:rFonts w:hint="eastAsia" w:ascii="Times New Roman" w:hAnsi="Times New Roman"/>
          <w:b w:val="0"/>
          <w:color w:val="000000"/>
          <w:szCs w:val="28"/>
          <w:lang w:eastAsia="zh-CN"/>
        </w:rPr>
      </w:pPr>
      <w:r>
        <w:rPr>
          <w:rFonts w:hint="eastAsia" w:ascii="Times New Roman" w:hAnsi="Times New Roman"/>
          <w:b w:val="0"/>
          <w:color w:val="000000"/>
          <w:szCs w:val="28"/>
          <w:lang w:val="en-US" w:eastAsia="zh-CN"/>
        </w:rPr>
        <w:t>2.</w:t>
      </w:r>
      <w:r>
        <w:rPr>
          <w:rFonts w:hint="eastAsia" w:ascii="Times New Roman" w:hAnsi="Times New Roman"/>
          <w:b w:val="0"/>
          <w:color w:val="000000"/>
          <w:szCs w:val="28"/>
          <w:lang w:eastAsia="zh-CN"/>
        </w:rPr>
        <w:t>类似项目业绩</w:t>
      </w:r>
      <w:bookmarkEnd w:id="517"/>
      <w:bookmarkEnd w:id="518"/>
    </w:p>
    <w:p w14:paraId="33A5E285">
      <w:pPr>
        <w:pageBreakBefore w:val="0"/>
        <w:wordWrap/>
        <w:topLinePunct w:val="0"/>
        <w:bidi w:val="0"/>
        <w:spacing w:line="360" w:lineRule="auto"/>
        <w:jc w:val="center"/>
        <w:rPr>
          <w:rFonts w:hint="eastAsia" w:ascii="仿宋" w:hAnsi="仿宋" w:eastAsia="仿宋" w:cs="仿宋"/>
          <w:color w:val="auto"/>
          <w:sz w:val="32"/>
          <w:szCs w:val="32"/>
          <w:lang w:eastAsia="zh-CN"/>
        </w:rPr>
      </w:pPr>
      <w:bookmarkStart w:id="519" w:name="_Toc939678011_WPSOffice_Level3"/>
      <w:r>
        <w:rPr>
          <w:rFonts w:hint="eastAsia" w:ascii="仿宋" w:hAnsi="仿宋" w:eastAsia="仿宋" w:cs="仿宋"/>
          <w:color w:val="auto"/>
          <w:sz w:val="32"/>
          <w:szCs w:val="32"/>
          <w:lang w:eastAsia="zh-CN"/>
        </w:rPr>
        <w:t>类似业绩一览表</w:t>
      </w:r>
      <w:bookmarkEnd w:id="519"/>
    </w:p>
    <w:tbl>
      <w:tblPr>
        <w:tblStyle w:val="53"/>
        <w:tblW w:w="979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867"/>
        <w:gridCol w:w="2206"/>
        <w:gridCol w:w="2104"/>
        <w:gridCol w:w="1590"/>
        <w:gridCol w:w="1494"/>
        <w:gridCol w:w="1537"/>
      </w:tblGrid>
      <w:tr w14:paraId="6D580B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93"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4C924A1B">
            <w:pPr>
              <w:pageBreakBefore w:val="0"/>
              <w:wordWrap/>
              <w:topLinePunct w:val="0"/>
              <w:bidi w:val="0"/>
              <w:spacing w:line="36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序号</w:t>
            </w: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4ADC7180">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5BEC28F0">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1ECC2B24">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项目金额</w:t>
            </w:r>
          </w:p>
          <w:p w14:paraId="78B5F65F">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76B936B0">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3A76D07C">
            <w:pPr>
              <w:pageBreakBefore w:val="0"/>
              <w:wordWrap/>
              <w:topLinePunct w:val="0"/>
              <w:bidi w:val="0"/>
              <w:spacing w:line="36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项目单位联系电话</w:t>
            </w:r>
          </w:p>
        </w:tc>
      </w:tr>
      <w:tr w14:paraId="44F789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416"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CBD3F20">
            <w:pPr>
              <w:pageBreakBefore w:val="0"/>
              <w:wordWrap/>
              <w:topLinePunct w:val="0"/>
              <w:bidi w:val="0"/>
              <w:spacing w:line="360" w:lineRule="auto"/>
              <w:rPr>
                <w:rFonts w:hint="eastAsia" w:ascii="仿宋" w:hAnsi="仿宋" w:eastAsia="仿宋" w:cs="仿宋"/>
                <w:color w:val="auto"/>
                <w:kern w:val="0"/>
                <w:sz w:val="28"/>
                <w:szCs w:val="28"/>
              </w:rPr>
            </w:pP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7E76F1B">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1610796">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5D341BF">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B98CCB2">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1AFC4BC7">
            <w:pPr>
              <w:pageBreakBefore w:val="0"/>
              <w:wordWrap/>
              <w:topLinePunct w:val="0"/>
              <w:bidi w:val="0"/>
              <w:spacing w:line="360" w:lineRule="auto"/>
              <w:rPr>
                <w:rFonts w:hint="eastAsia" w:ascii="仿宋" w:hAnsi="仿宋" w:eastAsia="仿宋" w:cs="仿宋"/>
                <w:color w:val="auto"/>
                <w:kern w:val="0"/>
                <w:sz w:val="28"/>
                <w:szCs w:val="28"/>
              </w:rPr>
            </w:pPr>
          </w:p>
        </w:tc>
      </w:tr>
      <w:tr w14:paraId="355931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433"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AE6EA9B">
            <w:pPr>
              <w:pageBreakBefore w:val="0"/>
              <w:wordWrap/>
              <w:topLinePunct w:val="0"/>
              <w:bidi w:val="0"/>
              <w:spacing w:line="360" w:lineRule="auto"/>
              <w:rPr>
                <w:rFonts w:hint="eastAsia" w:ascii="仿宋" w:hAnsi="仿宋" w:eastAsia="仿宋" w:cs="仿宋"/>
                <w:color w:val="auto"/>
                <w:kern w:val="0"/>
                <w:sz w:val="28"/>
                <w:szCs w:val="28"/>
              </w:rPr>
            </w:pP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77264DF">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DB7A402">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03C6BC2">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E6B63E2">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8FB11E9">
            <w:pPr>
              <w:pageBreakBefore w:val="0"/>
              <w:wordWrap/>
              <w:topLinePunct w:val="0"/>
              <w:bidi w:val="0"/>
              <w:spacing w:line="360" w:lineRule="auto"/>
              <w:rPr>
                <w:rFonts w:hint="eastAsia" w:ascii="仿宋" w:hAnsi="仿宋" w:eastAsia="仿宋" w:cs="仿宋"/>
                <w:color w:val="auto"/>
                <w:kern w:val="0"/>
                <w:sz w:val="28"/>
                <w:szCs w:val="28"/>
              </w:rPr>
            </w:pPr>
          </w:p>
        </w:tc>
      </w:tr>
      <w:tr w14:paraId="5F1C7C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3009AEA">
            <w:pPr>
              <w:pageBreakBefore w:val="0"/>
              <w:wordWrap/>
              <w:topLinePunct w:val="0"/>
              <w:bidi w:val="0"/>
              <w:spacing w:line="360" w:lineRule="auto"/>
              <w:rPr>
                <w:rFonts w:hint="eastAsia" w:ascii="仿宋" w:hAnsi="仿宋" w:eastAsia="仿宋" w:cs="仿宋"/>
                <w:color w:val="auto"/>
                <w:kern w:val="0"/>
                <w:sz w:val="28"/>
                <w:szCs w:val="28"/>
              </w:rPr>
            </w:pP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1754640">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7B53893">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DB7989D">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B90BFFB">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BCB92CF">
            <w:pPr>
              <w:pageBreakBefore w:val="0"/>
              <w:wordWrap/>
              <w:topLinePunct w:val="0"/>
              <w:bidi w:val="0"/>
              <w:spacing w:line="360" w:lineRule="auto"/>
              <w:rPr>
                <w:rFonts w:hint="eastAsia" w:ascii="仿宋" w:hAnsi="仿宋" w:eastAsia="仿宋" w:cs="仿宋"/>
                <w:color w:val="auto"/>
                <w:kern w:val="0"/>
                <w:sz w:val="28"/>
                <w:szCs w:val="28"/>
              </w:rPr>
            </w:pPr>
          </w:p>
        </w:tc>
      </w:tr>
      <w:tr w14:paraId="177815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04BF65E">
            <w:pPr>
              <w:pageBreakBefore w:val="0"/>
              <w:wordWrap/>
              <w:topLinePunct w:val="0"/>
              <w:bidi w:val="0"/>
              <w:spacing w:line="360" w:lineRule="auto"/>
              <w:rPr>
                <w:rFonts w:hint="eastAsia" w:ascii="仿宋" w:hAnsi="仿宋" w:eastAsia="仿宋" w:cs="仿宋"/>
                <w:color w:val="auto"/>
                <w:kern w:val="0"/>
                <w:sz w:val="28"/>
                <w:szCs w:val="28"/>
              </w:rPr>
            </w:pP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4C64A5F">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61FE6663">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C24D4D6">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C8120DA">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53B957A">
            <w:pPr>
              <w:pageBreakBefore w:val="0"/>
              <w:wordWrap/>
              <w:topLinePunct w:val="0"/>
              <w:bidi w:val="0"/>
              <w:spacing w:line="360" w:lineRule="auto"/>
              <w:rPr>
                <w:rFonts w:hint="eastAsia" w:ascii="仿宋" w:hAnsi="仿宋" w:eastAsia="仿宋" w:cs="仿宋"/>
                <w:color w:val="auto"/>
                <w:kern w:val="0"/>
                <w:sz w:val="28"/>
                <w:szCs w:val="28"/>
              </w:rPr>
            </w:pPr>
          </w:p>
        </w:tc>
      </w:tr>
      <w:tr w14:paraId="008A9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437" w:hRule="atLeast"/>
          <w:jc w:val="center"/>
        </w:trPr>
        <w:tc>
          <w:tcPr>
            <w:tcW w:w="86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18ABE64">
            <w:pPr>
              <w:pageBreakBefore w:val="0"/>
              <w:wordWrap/>
              <w:topLinePunct w:val="0"/>
              <w:bidi w:val="0"/>
              <w:spacing w:line="360" w:lineRule="auto"/>
              <w:rPr>
                <w:rFonts w:hint="eastAsia" w:ascii="仿宋" w:hAnsi="仿宋" w:eastAsia="仿宋" w:cs="仿宋"/>
                <w:color w:val="auto"/>
                <w:kern w:val="0"/>
                <w:sz w:val="28"/>
                <w:szCs w:val="28"/>
              </w:rPr>
            </w:pPr>
          </w:p>
        </w:tc>
        <w:tc>
          <w:tcPr>
            <w:tcW w:w="2206"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84983AA">
            <w:pPr>
              <w:pageBreakBefore w:val="0"/>
              <w:wordWrap/>
              <w:topLinePunct w:val="0"/>
              <w:bidi w:val="0"/>
              <w:spacing w:line="360" w:lineRule="auto"/>
              <w:rPr>
                <w:rFonts w:hint="eastAsia" w:ascii="仿宋" w:hAnsi="仿宋" w:eastAsia="仿宋" w:cs="仿宋"/>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0E7E4C6">
            <w:pPr>
              <w:pageBreakBefore w:val="0"/>
              <w:wordWrap/>
              <w:topLinePunct w:val="0"/>
              <w:bidi w:val="0"/>
              <w:spacing w:line="360" w:lineRule="auto"/>
              <w:rPr>
                <w:rFonts w:hint="eastAsia" w:ascii="仿宋" w:hAnsi="仿宋" w:eastAsia="仿宋" w:cs="仿宋"/>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0877A2E">
            <w:pPr>
              <w:pageBreakBefore w:val="0"/>
              <w:wordWrap/>
              <w:topLinePunct w:val="0"/>
              <w:bidi w:val="0"/>
              <w:spacing w:line="360" w:lineRule="auto"/>
              <w:rPr>
                <w:rFonts w:hint="eastAsia" w:ascii="仿宋" w:hAnsi="仿宋" w:eastAsia="仿宋" w:cs="仿宋"/>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40A1EB9">
            <w:pPr>
              <w:pageBreakBefore w:val="0"/>
              <w:wordWrap/>
              <w:topLinePunct w:val="0"/>
              <w:bidi w:val="0"/>
              <w:spacing w:line="360" w:lineRule="auto"/>
              <w:rPr>
                <w:rFonts w:hint="eastAsia" w:ascii="仿宋" w:hAnsi="仿宋" w:eastAsia="仿宋" w:cs="仿宋"/>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20F5EDE">
            <w:pPr>
              <w:pageBreakBefore w:val="0"/>
              <w:wordWrap/>
              <w:topLinePunct w:val="0"/>
              <w:bidi w:val="0"/>
              <w:spacing w:line="360" w:lineRule="auto"/>
              <w:rPr>
                <w:rFonts w:hint="eastAsia" w:ascii="仿宋" w:hAnsi="仿宋" w:eastAsia="仿宋" w:cs="仿宋"/>
                <w:color w:val="auto"/>
                <w:kern w:val="0"/>
                <w:sz w:val="28"/>
                <w:szCs w:val="28"/>
              </w:rPr>
            </w:pPr>
          </w:p>
        </w:tc>
      </w:tr>
    </w:tbl>
    <w:p w14:paraId="34BB0D92">
      <w:pPr>
        <w:pageBreakBefore w:val="0"/>
        <w:wordWrap/>
        <w:topLinePunct w:val="0"/>
        <w:bidi w:val="0"/>
        <w:spacing w:line="360" w:lineRule="auto"/>
        <w:rPr>
          <w:rFonts w:hint="eastAsia" w:ascii="仿宋" w:hAnsi="仿宋" w:eastAsia="仿宋" w:cs="仿宋"/>
          <w:color w:val="auto"/>
          <w:sz w:val="28"/>
          <w:szCs w:val="28"/>
        </w:rPr>
      </w:pPr>
    </w:p>
    <w:p w14:paraId="512F5443">
      <w:pPr>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）投标人可按上述的格式自行编制，后附扫描件。</w:t>
      </w:r>
    </w:p>
    <w:p w14:paraId="598EC901">
      <w:pPr>
        <w:pageBreakBefore w:val="0"/>
        <w:numPr>
          <w:ilvl w:val="0"/>
          <w:numId w:val="4"/>
        </w:numPr>
        <w:wordWrap/>
        <w:topLinePunct w:val="0"/>
        <w:bidi w:val="0"/>
        <w:spacing w:line="360" w:lineRule="auto"/>
        <w:ind w:left="56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业绩扫描不清楚或合同总金额不明确的不予认可，虚假业绩将自行承担相关责任。</w:t>
      </w:r>
    </w:p>
    <w:p w14:paraId="402F5598">
      <w:pPr>
        <w:pageBreakBefore w:val="0"/>
        <w:numPr>
          <w:ilvl w:val="0"/>
          <w:numId w:val="0"/>
        </w:numPr>
        <w:wordWrap/>
        <w:topLinePunct w:val="0"/>
        <w:bidi w:val="0"/>
        <w:spacing w:line="360" w:lineRule="auto"/>
        <w:ind w:left="560" w:left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）招标文件未要求提供业绩证明文件的，投标人可不提供。</w:t>
      </w:r>
    </w:p>
    <w:p w14:paraId="1AE9853A">
      <w:pPr>
        <w:jc w:val="center"/>
        <w:outlineLvl w:val="1"/>
        <w:rPr>
          <w:rFonts w:hint="eastAsia" w:ascii="仿宋" w:hAnsi="仿宋" w:eastAsia="仿宋" w:cs="仿宋"/>
          <w:b w:val="0"/>
          <w:color w:val="auto"/>
          <w:sz w:val="28"/>
          <w:szCs w:val="28"/>
          <w:lang w:val="en-US" w:eastAsia="zh-CN"/>
        </w:rPr>
      </w:pPr>
      <w:r>
        <w:rPr>
          <w:rFonts w:hint="eastAsia" w:ascii="仿宋" w:hAnsi="仿宋" w:eastAsia="仿宋" w:cs="仿宋"/>
          <w:color w:val="auto"/>
          <w:sz w:val="28"/>
          <w:szCs w:val="28"/>
          <w:lang w:eastAsia="zh-CN"/>
        </w:rPr>
        <w:br w:type="page"/>
      </w:r>
      <w:bookmarkStart w:id="520" w:name="_Toc71543328"/>
      <w:bookmarkStart w:id="521" w:name="_Toc2020026904_WPSOffice_Level2"/>
      <w:bookmarkStart w:id="522" w:name="_Toc671407240"/>
      <w:r>
        <w:rPr>
          <w:rFonts w:hint="eastAsia" w:ascii="仿宋" w:hAnsi="仿宋" w:eastAsia="仿宋" w:cs="仿宋"/>
          <w:b/>
          <w:bCs/>
          <w:sz w:val="28"/>
          <w:szCs w:val="28"/>
          <w:lang w:val="en-US" w:eastAsia="zh-CN"/>
        </w:rPr>
        <w:t>六、服务方案</w:t>
      </w:r>
      <w:bookmarkEnd w:id="520"/>
      <w:bookmarkEnd w:id="521"/>
      <w:bookmarkEnd w:id="522"/>
    </w:p>
    <w:p w14:paraId="1A6C2D7E">
      <w:pPr>
        <w:pStyle w:val="167"/>
        <w:pageBreakBefore w:val="0"/>
        <w:wordWrap/>
        <w:topLinePunct w:val="0"/>
        <w:bidi w:val="0"/>
        <w:spacing w:line="360" w:lineRule="auto"/>
        <w:ind w:firstLine="0"/>
        <w:rPr>
          <w:rFonts w:hint="eastAsia" w:ascii="仿宋" w:hAnsi="仿宋" w:eastAsia="仿宋" w:cs="仿宋"/>
          <w:color w:val="auto"/>
          <w:kern w:val="0"/>
          <w:sz w:val="28"/>
          <w:szCs w:val="28"/>
          <w:lang w:val="en-US" w:eastAsia="zh-CN"/>
        </w:rPr>
      </w:pPr>
    </w:p>
    <w:p w14:paraId="18801F8B">
      <w:pPr>
        <w:pStyle w:val="167"/>
        <w:pageBreakBefore w:val="0"/>
        <w:wordWrap/>
        <w:topLinePunct w:val="0"/>
        <w:bidi w:val="0"/>
        <w:spacing w:line="360" w:lineRule="auto"/>
        <w:ind w:firstLine="0"/>
        <w:rPr>
          <w:rFonts w:hint="eastAsia" w:ascii="仿宋" w:hAnsi="仿宋" w:eastAsia="仿宋" w:cs="仿宋"/>
          <w:color w:val="auto"/>
          <w:kern w:val="0"/>
          <w:sz w:val="28"/>
          <w:szCs w:val="28"/>
          <w:lang w:val="en-US" w:eastAsia="zh-CN"/>
        </w:rPr>
        <w:sectPr>
          <w:headerReference r:id="rId7" w:type="default"/>
          <w:footerReference r:id="rId8" w:type="default"/>
          <w:pgSz w:w="11900" w:h="16840"/>
          <w:pgMar w:top="1440" w:right="1800" w:bottom="1440" w:left="1800" w:header="851" w:footer="992" w:gutter="0"/>
          <w:pgBorders>
            <w:top w:val="none" w:sz="0" w:space="0"/>
            <w:left w:val="none" w:sz="0" w:space="0"/>
            <w:bottom w:val="none" w:sz="0" w:space="0"/>
            <w:right w:val="none" w:sz="0" w:space="0"/>
          </w:pgBorders>
          <w:pgNumType w:fmt="decimal"/>
          <w:cols w:space="720" w:num="1"/>
        </w:sectPr>
      </w:pPr>
    </w:p>
    <w:bookmarkEnd w:id="493"/>
    <w:p w14:paraId="5EA1DCCE">
      <w:pPr>
        <w:jc w:val="center"/>
        <w:outlineLvl w:val="1"/>
        <w:rPr>
          <w:rFonts w:hint="eastAsia" w:ascii="仿宋" w:hAnsi="仿宋" w:eastAsia="仿宋" w:cs="仿宋"/>
          <w:b/>
          <w:bCs/>
          <w:sz w:val="28"/>
          <w:szCs w:val="28"/>
          <w:lang w:val="en-US" w:eastAsia="zh-CN"/>
        </w:rPr>
      </w:pPr>
      <w:bookmarkStart w:id="523" w:name="_Toc1405132080"/>
      <w:bookmarkStart w:id="524" w:name="_Toc782655613"/>
      <w:bookmarkStart w:id="525" w:name="_Toc71543334"/>
      <w:bookmarkStart w:id="526" w:name="_Toc1961816944"/>
      <w:bookmarkStart w:id="527" w:name="_Toc1342357120"/>
      <w:bookmarkStart w:id="528" w:name="_Toc1027952896"/>
      <w:bookmarkStart w:id="529" w:name="_Toc203536082"/>
      <w:bookmarkStart w:id="530" w:name="_Toc741327320"/>
      <w:bookmarkStart w:id="531" w:name="_Toc364407768_WPSOffice_Level2"/>
      <w:bookmarkStart w:id="532" w:name="_Toc1893993795"/>
      <w:bookmarkStart w:id="533" w:name="_Toc297277348"/>
      <w:bookmarkStart w:id="534" w:name="_Toc1642658699"/>
      <w:bookmarkStart w:id="535" w:name="_Toc683097015"/>
      <w:bookmarkStart w:id="536" w:name="_Toc2003764980"/>
      <w:r>
        <w:rPr>
          <w:rFonts w:hint="eastAsia" w:ascii="仿宋" w:hAnsi="仿宋" w:eastAsia="仿宋" w:cs="仿宋"/>
          <w:b/>
          <w:bCs/>
          <w:sz w:val="28"/>
          <w:szCs w:val="28"/>
          <w:lang w:val="en-US" w:eastAsia="zh-CN"/>
        </w:rPr>
        <w:t>七、其他文件</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33D5ED1">
      <w:pPr>
        <w:pStyle w:val="167"/>
        <w:pageBreakBefore w:val="0"/>
        <w:wordWrap/>
        <w:topLinePunct w:val="0"/>
        <w:bidi w:val="0"/>
        <w:spacing w:line="360" w:lineRule="auto"/>
        <w:rPr>
          <w:rFonts w:hint="eastAsia" w:ascii="仿宋" w:hAnsi="仿宋" w:eastAsia="仿宋" w:cs="仿宋"/>
          <w:color w:val="auto"/>
          <w:kern w:val="0"/>
          <w:lang w:eastAsia="zh-CN"/>
        </w:rPr>
      </w:pPr>
    </w:p>
    <w:p w14:paraId="193EF92E">
      <w:pPr>
        <w:pageBreakBefore w:val="0"/>
        <w:wordWrap/>
        <w:topLinePunct w:val="0"/>
        <w:bidi w:val="0"/>
        <w:spacing w:line="360" w:lineRule="auto"/>
        <w:ind w:left="1080" w:hanging="540"/>
        <w:jc w:val="center"/>
        <w:rPr>
          <w:rFonts w:hint="eastAsia" w:ascii="仿宋" w:hAnsi="仿宋" w:eastAsia="仿宋" w:cs="仿宋"/>
          <w:color w:val="auto"/>
          <w:lang w:eastAsia="zh-CN"/>
        </w:rPr>
        <w:sectPr>
          <w:headerReference r:id="rId9" w:type="default"/>
          <w:footerReference r:id="rId10" w:type="default"/>
          <w:pgSz w:w="11900" w:h="16840"/>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14:paraId="79BE8C6C">
      <w:pPr>
        <w:pStyle w:val="6"/>
        <w:pageBreakBefore w:val="0"/>
        <w:numPr>
          <w:ilvl w:val="0"/>
          <w:numId w:val="5"/>
        </w:numPr>
        <w:wordWrap/>
        <w:topLinePunct w:val="0"/>
        <w:bidi w:val="0"/>
        <w:spacing w:before="0" w:after="0" w:line="360" w:lineRule="auto"/>
        <w:jc w:val="center"/>
        <w:rPr>
          <w:rFonts w:hint="eastAsia" w:ascii="仿宋" w:hAnsi="仿宋" w:eastAsia="仿宋" w:cs="仿宋"/>
          <w:color w:val="auto"/>
          <w:sz w:val="36"/>
          <w:szCs w:val="36"/>
          <w:lang w:eastAsia="zh-CN"/>
        </w:rPr>
      </w:pPr>
      <w:bookmarkStart w:id="537" w:name="_Toc14885"/>
      <w:bookmarkStart w:id="538" w:name="_Toc1023053876"/>
      <w:bookmarkStart w:id="539" w:name="_Toc1957633089"/>
      <w:bookmarkStart w:id="540" w:name="_Toc1176089766_WPSOffice_Level1"/>
      <w:bookmarkStart w:id="541" w:name="_Toc1188500584"/>
      <w:r>
        <w:rPr>
          <w:rFonts w:hint="eastAsia" w:ascii="仿宋" w:hAnsi="仿宋" w:eastAsia="仿宋" w:cs="仿宋"/>
          <w:color w:val="auto"/>
          <w:sz w:val="36"/>
          <w:szCs w:val="36"/>
          <w:lang w:eastAsia="zh-CN"/>
        </w:rPr>
        <w:t>项目需求及有关要求</w:t>
      </w:r>
      <w:bookmarkEnd w:id="537"/>
      <w:bookmarkEnd w:id="538"/>
      <w:bookmarkEnd w:id="539"/>
      <w:bookmarkEnd w:id="540"/>
      <w:bookmarkEnd w:id="541"/>
      <w:bookmarkStart w:id="542" w:name="_Toc577545602"/>
      <w:bookmarkStart w:id="543" w:name="_Toc1812667107_WPSOffice_Level1"/>
      <w:bookmarkStart w:id="544" w:name="_Toc371028730"/>
      <w:bookmarkStart w:id="545" w:name="_Toc1364277335"/>
      <w:bookmarkStart w:id="546" w:name="_Toc375798951"/>
      <w:bookmarkStart w:id="547" w:name="_Toc1228469917"/>
      <w:bookmarkStart w:id="548" w:name="_Toc1220109555_WPSOffice_Level1"/>
      <w:bookmarkStart w:id="549" w:name="_Toc56690152"/>
      <w:bookmarkStart w:id="550" w:name="_Toc1203796512"/>
      <w:bookmarkStart w:id="551" w:name="_Toc1699044653"/>
      <w:bookmarkStart w:id="552" w:name="_Toc1868605479"/>
      <w:bookmarkStart w:id="553" w:name="_Toc450869757"/>
      <w:bookmarkStart w:id="554" w:name="_Toc1658402222_WPSOffice_Level1"/>
      <w:bookmarkStart w:id="555" w:name="_Toc665075453"/>
      <w:bookmarkStart w:id="556" w:name="_Toc1278987015"/>
      <w:bookmarkStart w:id="557" w:name="_Toc1281126177_WPSOffice_Level1"/>
      <w:bookmarkStart w:id="558" w:name="_Toc2103487907_WPSOffice_Level1"/>
      <w:bookmarkStart w:id="559" w:name="_Toc342626813"/>
    </w:p>
    <w:p w14:paraId="52F659D5">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黑体" w:hAnsi="黑体" w:eastAsia="黑体" w:cs="黑体"/>
          <w:b w:val="0"/>
          <w:bCs w:val="0"/>
          <w:color w:val="auto"/>
          <w:sz w:val="28"/>
          <w:szCs w:val="28"/>
          <w:highlight w:val="none"/>
          <w:u w:val="none"/>
        </w:rPr>
      </w:pPr>
      <w:bookmarkStart w:id="560" w:name="_bookmark4"/>
      <w:bookmarkEnd w:id="560"/>
      <w:r>
        <w:rPr>
          <w:rFonts w:hint="eastAsia" w:ascii="黑体" w:hAnsi="黑体" w:eastAsia="黑体" w:cs="黑体"/>
          <w:b w:val="0"/>
          <w:bCs w:val="0"/>
          <w:color w:val="auto"/>
          <w:sz w:val="28"/>
          <w:szCs w:val="28"/>
          <w:highlight w:val="none"/>
          <w:u w:val="none"/>
          <w:lang w:val="en-US" w:eastAsia="zh-CN"/>
        </w:rPr>
        <w:t>一、商务要求</w:t>
      </w:r>
    </w:p>
    <w:p w14:paraId="4BFC0D3B">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一</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服务期限</w:t>
      </w:r>
    </w:p>
    <w:p w14:paraId="6F7A598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年。</w:t>
      </w:r>
    </w:p>
    <w:p w14:paraId="09D6A5F9">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二</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履约保证金</w:t>
      </w:r>
    </w:p>
    <w:p w14:paraId="452C78C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本项目的中标人</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lang w:val="zh-CN"/>
        </w:rPr>
        <w:t>按</w:t>
      </w:r>
      <w:r>
        <w:rPr>
          <w:rFonts w:hint="eastAsia" w:ascii="仿宋" w:hAnsi="仿宋" w:eastAsia="仿宋" w:cs="仿宋"/>
          <w:color w:val="auto"/>
          <w:sz w:val="28"/>
          <w:szCs w:val="28"/>
          <w:lang w:val="en-US" w:eastAsia="zh-CN"/>
        </w:rPr>
        <w:t>合同金额5</w:t>
      </w:r>
      <w:r>
        <w:rPr>
          <w:rFonts w:hint="eastAsia" w:ascii="仿宋" w:hAnsi="仿宋" w:eastAsia="仿宋" w:cs="仿宋"/>
          <w:color w:val="auto"/>
          <w:sz w:val="28"/>
          <w:szCs w:val="28"/>
          <w:lang w:val="zh-CN"/>
        </w:rPr>
        <w:t>％向采购人支付履约保证金。</w:t>
      </w:r>
    </w:p>
    <w:p w14:paraId="1CEC201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本项目合同期满，</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完成相关服务工作，</w:t>
      </w:r>
      <w:r>
        <w:rPr>
          <w:rFonts w:hint="eastAsia" w:ascii="仿宋" w:hAnsi="仿宋" w:eastAsia="仿宋" w:cs="仿宋"/>
          <w:color w:val="auto"/>
          <w:sz w:val="28"/>
          <w:szCs w:val="28"/>
          <w:lang w:val="en-US" w:eastAsia="zh-CN"/>
        </w:rPr>
        <w:t>无遗留问题</w:t>
      </w:r>
      <w:r>
        <w:rPr>
          <w:rFonts w:hint="eastAsia" w:ascii="仿宋" w:hAnsi="仿宋" w:eastAsia="仿宋" w:cs="仿宋"/>
          <w:color w:val="auto"/>
          <w:sz w:val="28"/>
          <w:szCs w:val="28"/>
          <w:lang w:val="zh-CN"/>
        </w:rPr>
        <w:t>10日内，由采购人将履约保证金一次性无息退还。</w:t>
      </w:r>
    </w:p>
    <w:p w14:paraId="5C5F5530">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重要说明</w:t>
      </w:r>
    </w:p>
    <w:p w14:paraId="65EAD4A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要严格遵守本项目</w:t>
      </w:r>
      <w:r>
        <w:rPr>
          <w:rFonts w:hint="eastAsia" w:ascii="仿宋" w:hAnsi="仿宋" w:eastAsia="仿宋" w:cs="仿宋"/>
          <w:color w:val="auto"/>
          <w:sz w:val="28"/>
          <w:szCs w:val="28"/>
          <w:lang w:val="en-US" w:eastAsia="zh-CN"/>
        </w:rPr>
        <w:t>招</w:t>
      </w:r>
      <w:r>
        <w:rPr>
          <w:rFonts w:hint="eastAsia" w:ascii="仿宋" w:hAnsi="仿宋" w:eastAsia="仿宋" w:cs="仿宋"/>
          <w:color w:val="auto"/>
          <w:sz w:val="28"/>
          <w:szCs w:val="28"/>
          <w:lang w:val="zh-CN"/>
        </w:rPr>
        <w:t>标文件中最少用工人数的约定，未经采购人管理部门同意，不得随意减少人员。</w:t>
      </w:r>
    </w:p>
    <w:p w14:paraId="759532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2.在合同执行过程中，根据学校工作安排或需要，服务内容如有增减，相关费用据实结算。</w:t>
      </w:r>
    </w:p>
    <w:p w14:paraId="01439F5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不得以任何方式转包本项目。如</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存在转包本项目的情况，采购人可以</w:t>
      </w:r>
      <w:r>
        <w:rPr>
          <w:rFonts w:hint="eastAsia" w:ascii="仿宋" w:hAnsi="仿宋" w:eastAsia="仿宋" w:cs="仿宋"/>
          <w:color w:val="auto"/>
          <w:sz w:val="28"/>
          <w:szCs w:val="28"/>
          <w:lang w:val="zh-CN" w:eastAsia="zh-CN"/>
        </w:rPr>
        <w:t>终止</w:t>
      </w:r>
      <w:r>
        <w:rPr>
          <w:rFonts w:hint="eastAsia" w:ascii="仿宋" w:hAnsi="仿宋" w:eastAsia="仿宋" w:cs="仿宋"/>
          <w:color w:val="auto"/>
          <w:sz w:val="28"/>
          <w:szCs w:val="28"/>
          <w:lang w:val="zh-CN"/>
        </w:rPr>
        <w:t>合同，由此造成的一切后果均由</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承担。</w:t>
      </w:r>
    </w:p>
    <w:p w14:paraId="314D457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在提供服务过程中，如果达不到服务标准，</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应按</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zh-CN"/>
        </w:rPr>
        <w:t>要求落实整改。逾期未整改或整改未达到服务标准的，采购人有权自行聘请其他公司进行整改，整改费用从当月</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物业服务费中扣除，同时按照考核办法相关约定扣除相应的分数和费用。</w:t>
      </w:r>
    </w:p>
    <w:p w14:paraId="4D92641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5.</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违反如下任一义务的，采购人可单方面立即解除合同同时不承担违约责任，并要求</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赔偿损失。</w:t>
      </w:r>
    </w:p>
    <w:p w14:paraId="2C064EE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（1）如</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eastAsia="zh-CN"/>
        </w:rPr>
        <w:t>连续两个月或累计三个月月度考评低于60分，</w:t>
      </w:r>
      <w:r>
        <w:rPr>
          <w:rFonts w:hint="eastAsia" w:ascii="仿宋" w:hAnsi="仿宋" w:eastAsia="仿宋" w:cs="仿宋"/>
          <w:color w:val="auto"/>
          <w:sz w:val="28"/>
          <w:szCs w:val="28"/>
          <w:lang w:val="zh-CN"/>
        </w:rPr>
        <w:t>采购人有权单方解除合同；造成采购人经济损失的（包括第三方索赔、律师费、行政处罚金、采取补救措施的费用及开支等），</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承担赔偿责任。</w:t>
      </w:r>
    </w:p>
    <w:p w14:paraId="6F26ABA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（2）如</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出现重大管理失误（给采购方带来重大经济损失、人员伤害或社会名誉损害、存在转包等情形），采购人有权单方面解除本合同；造成采购人经济损失的（包括第三方索赔、律师费、行政处罚金、采取补救措施的费用及开支等），</w:t>
      </w:r>
      <w:r>
        <w:rPr>
          <w:rFonts w:hint="eastAsia" w:ascii="仿宋" w:hAnsi="仿宋" w:eastAsia="仿宋" w:cs="仿宋"/>
          <w:color w:val="auto"/>
          <w:sz w:val="28"/>
          <w:szCs w:val="28"/>
          <w:lang w:val="en-US" w:eastAsia="zh-CN"/>
        </w:rPr>
        <w:t>中标人</w:t>
      </w:r>
      <w:r>
        <w:rPr>
          <w:rFonts w:hint="eastAsia" w:ascii="仿宋" w:hAnsi="仿宋" w:eastAsia="仿宋" w:cs="仿宋"/>
          <w:color w:val="auto"/>
          <w:sz w:val="28"/>
          <w:szCs w:val="28"/>
          <w:lang w:val="zh-CN"/>
        </w:rPr>
        <w:t>承担赔偿责任。</w:t>
      </w:r>
    </w:p>
    <w:p w14:paraId="3C361CC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（3）因中标人原因引发火灾、伤亡、失窃等事件，或存在其他违反法律法规规章的行为，采购人有权单方解除合同，并根据损失程度要求中标人作出相应赔偿。</w:t>
      </w:r>
    </w:p>
    <w:p w14:paraId="1004DBD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6.</w:t>
      </w:r>
      <w:r>
        <w:rPr>
          <w:rFonts w:hint="eastAsia" w:ascii="仿宋" w:hAnsi="仿宋" w:eastAsia="仿宋" w:cs="仿宋"/>
          <w:color w:val="auto"/>
          <w:sz w:val="28"/>
          <w:szCs w:val="28"/>
          <w:lang w:val="en-US" w:eastAsia="zh-CN"/>
        </w:rPr>
        <w:t>中标人应</w:t>
      </w:r>
      <w:r>
        <w:rPr>
          <w:rFonts w:hint="eastAsia" w:ascii="仿宋" w:hAnsi="仿宋" w:eastAsia="仿宋" w:cs="仿宋"/>
          <w:color w:val="auto"/>
          <w:sz w:val="28"/>
          <w:szCs w:val="28"/>
          <w:lang w:val="zh-CN"/>
        </w:rPr>
        <w:t>优先聘用符合工作要求的学校现有物业服务人员。</w:t>
      </w:r>
    </w:p>
    <w:p w14:paraId="00BB59CD">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整体质量要求</w:t>
      </w:r>
    </w:p>
    <w:p w14:paraId="03747AE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1.中标人</w:t>
      </w:r>
      <w:r>
        <w:rPr>
          <w:rFonts w:hint="eastAsia" w:ascii="仿宋" w:hAnsi="仿宋" w:eastAsia="仿宋" w:cs="仿宋"/>
          <w:color w:val="auto"/>
          <w:sz w:val="28"/>
          <w:szCs w:val="28"/>
          <w:lang w:val="zh-CN" w:eastAsia="zh-CN"/>
        </w:rPr>
        <w:t>承接项目时，需对建筑、设施、设备、场地、绿植、草地等逐项查验并建立台账；合同提前终止或履行完毕时，需办妥完整交接手续。</w:t>
      </w:r>
    </w:p>
    <w:p w14:paraId="71694C3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2.中标人</w:t>
      </w:r>
      <w:r>
        <w:rPr>
          <w:rFonts w:hint="eastAsia" w:ascii="仿宋" w:hAnsi="仿宋" w:eastAsia="仿宋" w:cs="仿宋"/>
          <w:color w:val="auto"/>
          <w:sz w:val="28"/>
          <w:szCs w:val="28"/>
          <w:lang w:val="zh-CN" w:eastAsia="zh-CN"/>
        </w:rPr>
        <w:t>应制定质量管理、档案管理等完备的物业管理制度，建立设备管理、日常管理等完善的物业管理档案，编制健全的物业管理方案；定期考核各类管理及服务人员，采用智能化管理信息平台开展管理工作。</w:t>
      </w:r>
    </w:p>
    <w:p w14:paraId="36C92C3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3.中标人</w:t>
      </w:r>
      <w:r>
        <w:rPr>
          <w:rFonts w:hint="eastAsia" w:ascii="仿宋" w:hAnsi="仿宋" w:eastAsia="仿宋" w:cs="仿宋"/>
          <w:color w:val="auto"/>
          <w:sz w:val="28"/>
          <w:szCs w:val="28"/>
          <w:lang w:val="zh-CN" w:eastAsia="zh-CN"/>
        </w:rPr>
        <w:t>服务质量需符合国家及省、市物业管理服务质量指标的相关规定与具体标准。</w:t>
      </w:r>
    </w:p>
    <w:p w14:paraId="44EE7CA5">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zh-CN"/>
        </w:rPr>
        <w:t>五）其它要求</w:t>
      </w:r>
    </w:p>
    <w:p w14:paraId="0ADF9A5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未经采购人书面许可，中标人不得开展本合同约定外的任何经营性活动，不得引进单位或个人从事经营性活动，不得出租、出借、出让学校任何资产；需爱护采购人管辖范围内的设施设备，不得阻碍学校批准的服务项目与活动实施，否则视为违约。</w:t>
      </w:r>
    </w:p>
    <w:p w14:paraId="4460B06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2.中标人需遵守《劳动法》等相关法律法规，依法与员工签订、履行、变更、解除及终止劳动合同，并为员工购买相应保险。</w:t>
      </w:r>
    </w:p>
    <w:p w14:paraId="4B52214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中标人与其员工（含临时人员）产生的一切纠纷，均由中标人自行沟通、协调、处置并承担赔偿责任；从业人员在工作及非工作时间的人身安全责任由中标人承担，采购人无责。若造成采购人损失，采购人有权向中标人追偿，相关责任由中标人全额承担。</w:t>
      </w:r>
    </w:p>
    <w:p w14:paraId="3070BA3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采购人仅为中标人提供办公用房、设备工具库房、员工更衣室等必要工作条件；除关键岗位工作需要外，中标人员工住宿由其自行安排。中标人需妥善使用和保管采购人提供的办公用房及设施，对相关资料履行保密义务，不得向第三方泄露。若使用采购人房屋作为员工宿舍，需按学校房屋管理规定缴纳住宿费与水电费。</w:t>
      </w:r>
    </w:p>
    <w:p w14:paraId="42E2447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5.中标人需为学校各类重大活动提供后勤保障，包括但不限于学生集中离校返校、新生报到等时段的校内车辆周转及相关布置工作，相关费用由中标人承担。</w:t>
      </w:r>
    </w:p>
    <w:p w14:paraId="7A04457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本项目保洁服务不含室外保洁（寒暑假除外），日常室外保洁由学生完成。暑假期间，学生宿舍全开放且学校整修毕业生宿舍，中标人需协助学校完成毕业生宿舍室内保洁，并协助学生完成部分室外保洁；寒假期间学生全部离校，中标人需承担全部室外保洁工作。</w:t>
      </w:r>
    </w:p>
    <w:p w14:paraId="384A118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7.因东、西、南运动场及篮球场、排球场、网球场等室外训练场地具有特殊性，中标人需按采购人要求提供保洁服务。</w:t>
      </w:r>
    </w:p>
    <w:p w14:paraId="520F697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8.项目实施期间，中标人原则上不得更换物业经理；确需更换的，需事先征得采购人同意。若私自更换物业经理并给采购人造成损失，采购人有权要求中标人赔偿，相关损失由中标人全额承担。</w:t>
      </w:r>
    </w:p>
    <w:p w14:paraId="53BAACAB">
      <w:pPr>
        <w:pageBreakBefore w:val="0"/>
        <w:kinsoku/>
        <w:wordWrap/>
        <w:overflowPunct/>
        <w:topLinePunct w:val="0"/>
        <w:bidi w:val="0"/>
        <w:spacing w:line="360" w:lineRule="auto"/>
        <w:jc w:val="left"/>
        <w:outlineLvl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二、技术需求</w:t>
      </w:r>
    </w:p>
    <w:p w14:paraId="3ABE58BD">
      <w:pPr>
        <w:pStyle w:val="7"/>
        <w:pageBreakBefore w:val="0"/>
        <w:tabs>
          <w:tab w:val="left" w:pos="840"/>
        </w:tabs>
        <w:kinsoku/>
        <w:wordWrap/>
        <w:overflowPunct/>
        <w:topLinePunct w:val="0"/>
        <w:bidi w:val="0"/>
        <w:spacing w:before="0" w:after="0" w:line="360" w:lineRule="auto"/>
        <w:ind w:left="0" w:leftChars="0" w:right="0" w:firstLine="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val="zh-CN"/>
        </w:rPr>
        <w:t>节  保洁服务物业管理项目要求</w:t>
      </w:r>
    </w:p>
    <w:p w14:paraId="1AB5C859">
      <w:pPr>
        <w:pageBreakBefore w:val="0"/>
        <w:tabs>
          <w:tab w:val="left" w:pos="424"/>
        </w:tabs>
        <w:kinsoku/>
        <w:wordWrap/>
        <w:overflowPunct/>
        <w:topLinePunct w:val="0"/>
        <w:autoSpaceDE/>
        <w:autoSpaceDN/>
        <w:bidi w:val="0"/>
        <w:spacing w:line="360" w:lineRule="auto"/>
        <w:ind w:left="0" w:leftChars="0" w:right="0"/>
        <w:rPr>
          <w:rFonts w:hint="eastAsia" w:ascii="仿宋" w:hAnsi="仿宋" w:eastAsia="仿宋" w:cs="仿宋"/>
          <w:bCs/>
          <w:sz w:val="28"/>
          <w:szCs w:val="28"/>
        </w:rPr>
      </w:pPr>
      <w:r>
        <w:rPr>
          <w:rFonts w:hint="eastAsia" w:ascii="仿宋" w:hAnsi="仿宋" w:eastAsia="仿宋" w:cs="仿宋"/>
          <w:b/>
          <w:sz w:val="28"/>
          <w:szCs w:val="28"/>
        </w:rPr>
        <w:t>总体要求：提供专业、规范的环卫保洁服务，创建整洁干净、舒适靓丽的校园环境。</w:t>
      </w:r>
      <w:r>
        <w:rPr>
          <w:rFonts w:hint="eastAsia" w:ascii="仿宋" w:hAnsi="仿宋" w:eastAsia="仿宋" w:cs="仿宋"/>
          <w:bCs/>
          <w:sz w:val="28"/>
          <w:szCs w:val="28"/>
        </w:rPr>
        <w:t>负责各</w:t>
      </w:r>
      <w:r>
        <w:rPr>
          <w:rFonts w:hint="eastAsia" w:ascii="仿宋" w:hAnsi="仿宋" w:eastAsia="仿宋" w:cs="仿宋"/>
          <w:bCs/>
          <w:sz w:val="28"/>
          <w:szCs w:val="28"/>
          <w:highlight w:val="none"/>
        </w:rPr>
        <w:t>楼宇内部公共区域</w:t>
      </w:r>
      <w:r>
        <w:rPr>
          <w:rFonts w:hint="eastAsia" w:ascii="仿宋" w:hAnsi="仿宋" w:eastAsia="仿宋" w:cs="仿宋"/>
          <w:bCs/>
          <w:sz w:val="28"/>
          <w:szCs w:val="28"/>
        </w:rPr>
        <w:t>（包含屋面、建筑物墙体、天花板、玻璃幕墙、电梯轿厢等）和楼宇外部（包含湖面、雨水井、污水井、化粪池、灯杆、树杆、景观设施等）的环境卫生管理，确保无卫生死角，由供应商提供规范化的保洁服务标准、服务质量控制标准和服务评价与改进标准。供应商按服务标准对范围内的场所进行保洁，按标准定人定点定时管理、巡查、监督、建档</w:t>
      </w:r>
      <w:r>
        <w:rPr>
          <w:rFonts w:hint="eastAsia" w:ascii="仿宋" w:hAnsi="仿宋" w:eastAsia="仿宋" w:cs="仿宋"/>
          <w:bCs/>
          <w:sz w:val="28"/>
          <w:szCs w:val="28"/>
          <w:lang w:eastAsia="zh-CN"/>
        </w:rPr>
        <w:t>，</w:t>
      </w:r>
      <w:r>
        <w:rPr>
          <w:rFonts w:hint="eastAsia" w:ascii="仿宋" w:hAnsi="仿宋" w:eastAsia="仿宋" w:cs="仿宋"/>
          <w:bCs/>
          <w:sz w:val="28"/>
          <w:szCs w:val="28"/>
        </w:rPr>
        <w:t>按标准对服务质量进行考核评定。</w:t>
      </w:r>
    </w:p>
    <w:p w14:paraId="7D70959E">
      <w:pPr>
        <w:pStyle w:val="8"/>
        <w:pageBreakBefore w:val="0"/>
        <w:tabs>
          <w:tab w:val="left" w:pos="840"/>
        </w:tabs>
        <w:kinsoku/>
        <w:wordWrap/>
        <w:overflowPunct/>
        <w:topLinePunct w:val="0"/>
        <w:autoSpaceDE/>
        <w:autoSpaceDN/>
        <w:bidi w:val="0"/>
        <w:spacing w:before="0" w:after="0" w:line="360" w:lineRule="auto"/>
        <w:ind w:left="0" w:leftChars="0" w:right="0" w:firstLine="562" w:firstLineChars="200"/>
        <w:jc w:val="center"/>
        <w:outlineLvl w:val="2"/>
        <w:rPr>
          <w:rFonts w:hint="eastAsia" w:ascii="仿宋" w:hAnsi="仿宋" w:eastAsia="仿宋" w:cs="仿宋"/>
          <w:sz w:val="28"/>
          <w:szCs w:val="28"/>
          <w:lang w:val="en-US" w:eastAsia="zh-CN"/>
        </w:rPr>
      </w:pPr>
      <w:bookmarkStart w:id="561" w:name="_Toc20351"/>
      <w:r>
        <w:rPr>
          <w:rFonts w:hint="eastAsia" w:ascii="仿宋" w:hAnsi="仿宋" w:eastAsia="仿宋" w:cs="仿宋"/>
          <w:sz w:val="28"/>
          <w:szCs w:val="28"/>
          <w:lang w:val="en-US" w:eastAsia="zh-CN"/>
        </w:rPr>
        <w:t>一、楼宇内部保洁服务</w:t>
      </w:r>
    </w:p>
    <w:p w14:paraId="769A3FB8">
      <w:pPr>
        <w:pStyle w:val="9"/>
        <w:pageBreakBefore w:val="0"/>
        <w:tabs>
          <w:tab w:val="left" w:pos="840"/>
        </w:tabs>
        <w:kinsoku/>
        <w:wordWrap/>
        <w:overflowPunct/>
        <w:topLinePunct w:val="0"/>
        <w:autoSpaceDE/>
        <w:autoSpaceDN/>
        <w:bidi w:val="0"/>
        <w:spacing w:before="0" w:after="0" w:line="360" w:lineRule="auto"/>
        <w:ind w:left="0" w:leftChars="0" w:right="0" w:firstLine="562" w:firstLineChars="200"/>
        <w:jc w:val="left"/>
        <w:outlineLvl w:val="3"/>
        <w:rPr>
          <w:rFonts w:hint="eastAsia" w:ascii="仿宋" w:hAnsi="仿宋" w:eastAsia="仿宋" w:cs="仿宋"/>
          <w:sz w:val="28"/>
          <w:szCs w:val="28"/>
        </w:rPr>
      </w:pPr>
      <w:r>
        <w:rPr>
          <w:rFonts w:hint="eastAsia" w:ascii="仿宋" w:hAnsi="仿宋" w:eastAsia="仿宋" w:cs="仿宋"/>
          <w:sz w:val="28"/>
          <w:szCs w:val="28"/>
        </w:rPr>
        <w:t>（一）服务范围</w:t>
      </w:r>
      <w:bookmarkEnd w:id="561"/>
    </w:p>
    <w:p w14:paraId="1F3C34E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sz w:val="28"/>
          <w:szCs w:val="28"/>
        </w:rPr>
        <w:t>服务范围内楼宇建筑面积共</w:t>
      </w:r>
      <w:r>
        <w:rPr>
          <w:rFonts w:hint="eastAsia" w:ascii="仿宋" w:hAnsi="仿宋" w:eastAsia="仿宋" w:cs="仿宋"/>
          <w:bCs/>
          <w:sz w:val="28"/>
          <w:szCs w:val="28"/>
          <w:lang w:val="en-US" w:eastAsia="zh-CN"/>
        </w:rPr>
        <w:t>488211.25</w:t>
      </w:r>
      <w:r>
        <w:rPr>
          <w:rFonts w:hint="eastAsia" w:ascii="仿宋" w:hAnsi="仿宋" w:eastAsia="仿宋" w:cs="仿宋"/>
          <w:bCs/>
          <w:sz w:val="28"/>
          <w:szCs w:val="28"/>
        </w:rPr>
        <w:t>平方米</w:t>
      </w:r>
      <w:r>
        <w:rPr>
          <w:rFonts w:hint="eastAsia" w:ascii="仿宋" w:hAnsi="仿宋" w:eastAsia="仿宋" w:cs="仿宋"/>
          <w:bCs/>
          <w:sz w:val="28"/>
          <w:szCs w:val="28"/>
          <w:lang w:eastAsia="zh-CN"/>
        </w:rPr>
        <w:t>，</w:t>
      </w:r>
      <w:r>
        <w:rPr>
          <w:rFonts w:hint="eastAsia" w:ascii="仿宋" w:hAnsi="仿宋" w:eastAsia="仿宋" w:cs="仿宋"/>
          <w:bCs/>
          <w:sz w:val="28"/>
          <w:szCs w:val="28"/>
          <w:highlight w:val="none"/>
        </w:rPr>
        <w:t>用工人数不少于</w:t>
      </w:r>
      <w:r>
        <w:rPr>
          <w:rFonts w:hint="eastAsia" w:ascii="仿宋" w:hAnsi="仿宋" w:eastAsia="仿宋" w:cs="仿宋"/>
          <w:bCs/>
          <w:sz w:val="28"/>
          <w:szCs w:val="28"/>
          <w:highlight w:val="none"/>
          <w:lang w:val="en-US" w:eastAsia="zh-CN"/>
        </w:rPr>
        <w:t>110</w:t>
      </w:r>
      <w:r>
        <w:rPr>
          <w:rFonts w:hint="eastAsia" w:ascii="仿宋" w:hAnsi="仿宋" w:eastAsia="仿宋" w:cs="仿宋"/>
          <w:bCs/>
          <w:sz w:val="28"/>
          <w:szCs w:val="28"/>
          <w:highlight w:val="none"/>
        </w:rPr>
        <w:t>人。</w:t>
      </w:r>
      <w:r>
        <w:rPr>
          <w:rFonts w:hint="eastAsia" w:ascii="仿宋" w:hAnsi="仿宋" w:eastAsia="仿宋" w:cs="仿宋"/>
          <w:bCs/>
          <w:sz w:val="28"/>
          <w:szCs w:val="28"/>
        </w:rPr>
        <w:t>具体服务内容为教学区、行政区、学生宿舍区和商业街区内所有楼宇公共区域（包括内外墙面、屋面、天花板、步梯、电梯轿厢、玻璃幕墙、卫生间等，教学区包含所有教室和教师休息室内部保洁，行政区包含所有会议室保洁）的保洁服务。所有卫生间、洗漱间安装防臭地漏，增加增香除异味的设施设备及物料，</w:t>
      </w:r>
      <w:r>
        <w:rPr>
          <w:rFonts w:hint="eastAsia" w:ascii="仿宋" w:hAnsi="仿宋" w:eastAsia="仿宋" w:cs="仿宋"/>
          <w:bCs/>
          <w:color w:val="auto"/>
          <w:sz w:val="28"/>
          <w:szCs w:val="28"/>
        </w:rPr>
        <w:t>确保无异味。各楼宇保洁范围如下：</w:t>
      </w:r>
    </w:p>
    <w:p w14:paraId="3D4E6B92">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1.行政区</w:t>
      </w:r>
    </w:p>
    <w:p w14:paraId="61FFB1D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A、负责行政办公楼公共区域的卫生清扫、保洁（含卫生间、</w:t>
      </w:r>
      <w:r>
        <w:rPr>
          <w:rFonts w:hint="eastAsia" w:ascii="仿宋" w:hAnsi="仿宋" w:eastAsia="仿宋" w:cs="仿宋"/>
          <w:b w:val="0"/>
          <w:bCs/>
          <w:color w:val="auto"/>
          <w:sz w:val="28"/>
          <w:szCs w:val="28"/>
          <w:lang w:eastAsia="zh-CN"/>
        </w:rPr>
        <w:t>遮挡帘、</w:t>
      </w:r>
      <w:r>
        <w:rPr>
          <w:rFonts w:hint="eastAsia" w:ascii="仿宋" w:hAnsi="仿宋" w:eastAsia="仿宋" w:cs="仿宋"/>
          <w:b w:val="0"/>
          <w:bCs/>
          <w:color w:val="auto"/>
          <w:sz w:val="28"/>
          <w:szCs w:val="28"/>
        </w:rPr>
        <w:t>楼梯、扶手、走廊、墙壁、地面、屋面、会议室、电梯、玻璃、幕墙及附属物、地下室等）</w:t>
      </w:r>
      <w:r>
        <w:rPr>
          <w:rFonts w:hint="eastAsia" w:ascii="仿宋" w:hAnsi="仿宋" w:eastAsia="仿宋" w:cs="仿宋"/>
          <w:b w:val="0"/>
          <w:bCs/>
          <w:color w:val="auto"/>
          <w:sz w:val="28"/>
          <w:szCs w:val="28"/>
          <w:lang w:eastAsia="zh-CN"/>
        </w:rPr>
        <w:t>，会议室及报告厅地毯、窗帘每年清洗</w:t>
      </w:r>
      <w:r>
        <w:rPr>
          <w:rFonts w:hint="eastAsia" w:ascii="仿宋" w:hAnsi="仿宋" w:eastAsia="仿宋" w:cs="仿宋"/>
          <w:b w:val="0"/>
          <w:bCs/>
          <w:color w:val="auto"/>
          <w:sz w:val="28"/>
          <w:szCs w:val="28"/>
          <w:lang w:val="en-US" w:eastAsia="zh-CN"/>
        </w:rPr>
        <w:t>1次。</w:t>
      </w:r>
    </w:p>
    <w:p w14:paraId="45E5DB3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B、负责图书馆大楼公共区域、阅览室、自习室的卫生清扫、保洁（含报告厅、会议室、多功能室、卫生间、楼梯、电梯、扶手、走廊、墙壁、地面、屋面、玻璃、幕墙及附属物、地下室等）。</w:t>
      </w:r>
    </w:p>
    <w:p w14:paraId="3C751204">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C、负责</w:t>
      </w:r>
      <w:r>
        <w:rPr>
          <w:rFonts w:hint="eastAsia" w:ascii="仿宋" w:hAnsi="仿宋" w:eastAsia="仿宋" w:cs="仿宋"/>
          <w:b w:val="0"/>
          <w:bCs/>
          <w:color w:val="auto"/>
          <w:sz w:val="28"/>
          <w:szCs w:val="28"/>
          <w:lang w:eastAsia="zh-CN"/>
        </w:rPr>
        <w:t>法学部楼</w:t>
      </w:r>
      <w:r>
        <w:rPr>
          <w:rFonts w:hint="eastAsia" w:ascii="仿宋" w:hAnsi="仿宋" w:eastAsia="仿宋" w:cs="仿宋"/>
          <w:b w:val="0"/>
          <w:bCs/>
          <w:color w:val="auto"/>
          <w:sz w:val="28"/>
          <w:szCs w:val="28"/>
        </w:rPr>
        <w:t>公共区域的卫生清扫、保洁（含楼内部分教室、会议室、节能监控中心、卫生间、电梯、楼梯、扶手、走廊、墙壁、地面、屋面、玻璃、幕墙及附属物等）。</w:t>
      </w:r>
    </w:p>
    <w:p w14:paraId="17C2F41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D、负责校医院公共区域的卫生清扫、保洁（含会议室、卫生间、洗衣间、楼梯、电梯、走廊、墙壁、地面、屋面、玻璃、幕墙及附属物等）。</w:t>
      </w:r>
    </w:p>
    <w:p w14:paraId="24803E6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E、负责教职工活动中心公共区域的卫生清扫、保洁（含卫生间、楼梯、扶手、走廊、墙壁、地面、屋面、玻璃、幕墙及附属物、健身房、活动室等）。</w:t>
      </w:r>
    </w:p>
    <w:p w14:paraId="4B30B58B">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2.教学区</w:t>
      </w:r>
    </w:p>
    <w:p w14:paraId="643304F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A、负责教学楼内公共区域的卫生清扫、保洁（含1号、2号教学楼教室、教师休息室、报告厅、博物馆、</w:t>
      </w:r>
      <w:r>
        <w:rPr>
          <w:rFonts w:hint="eastAsia" w:ascii="仿宋" w:hAnsi="仿宋" w:eastAsia="仿宋" w:cs="仿宋"/>
          <w:b w:val="0"/>
          <w:bCs/>
          <w:color w:val="auto"/>
          <w:sz w:val="28"/>
          <w:szCs w:val="28"/>
          <w:lang w:eastAsia="zh-CN"/>
        </w:rPr>
        <w:t>大厅内公共区域（桌椅、读书仓、书架、储物柜、收纳箱等附属物）、</w:t>
      </w:r>
      <w:r>
        <w:rPr>
          <w:rFonts w:hint="eastAsia" w:ascii="仿宋" w:hAnsi="仿宋" w:eastAsia="仿宋" w:cs="仿宋"/>
          <w:b w:val="0"/>
          <w:bCs/>
          <w:color w:val="auto"/>
          <w:sz w:val="28"/>
          <w:szCs w:val="28"/>
        </w:rPr>
        <w:t>卫生间、楼梯、扶手、走廊、墙壁、玻璃、地面、屋面、幕墙、窗台、天花板及附属物、地下室等）；教室内桌椅保洁、教室门窗玻璃、窗台保洁，教室地面、墙面、天花板保洁，</w:t>
      </w:r>
      <w:r>
        <w:rPr>
          <w:rFonts w:hint="eastAsia" w:ascii="仿宋" w:hAnsi="仿宋" w:eastAsia="仿宋" w:cs="仿宋"/>
          <w:b w:val="0"/>
          <w:bCs/>
          <w:color w:val="auto"/>
          <w:sz w:val="28"/>
          <w:szCs w:val="28"/>
          <w:lang w:val="en-US" w:eastAsia="zh-CN"/>
        </w:rPr>
        <w:t>教师休息室布艺沙发、多媒体</w:t>
      </w:r>
      <w:r>
        <w:rPr>
          <w:rFonts w:hint="eastAsia" w:ascii="仿宋" w:hAnsi="仿宋" w:eastAsia="仿宋" w:cs="仿宋"/>
          <w:b w:val="0"/>
          <w:bCs/>
          <w:color w:val="auto"/>
          <w:sz w:val="28"/>
          <w:szCs w:val="28"/>
          <w:lang w:eastAsia="zh-CN"/>
        </w:rPr>
        <w:t>教室</w:t>
      </w:r>
      <w:r>
        <w:rPr>
          <w:rFonts w:hint="eastAsia" w:ascii="仿宋" w:hAnsi="仿宋" w:eastAsia="仿宋" w:cs="仿宋"/>
          <w:b w:val="0"/>
          <w:bCs/>
          <w:color w:val="auto"/>
          <w:sz w:val="28"/>
          <w:szCs w:val="28"/>
          <w:lang w:val="en-US" w:eastAsia="zh-CN"/>
        </w:rPr>
        <w:t>PUC地板及教室</w:t>
      </w:r>
      <w:r>
        <w:rPr>
          <w:rFonts w:hint="eastAsia" w:ascii="仿宋" w:hAnsi="仿宋" w:eastAsia="仿宋" w:cs="仿宋"/>
          <w:b w:val="0"/>
          <w:bCs/>
          <w:color w:val="auto"/>
          <w:sz w:val="28"/>
          <w:szCs w:val="28"/>
        </w:rPr>
        <w:t>窗帘每年暑期清洗一次（如果有污损，随时清洗）。</w:t>
      </w:r>
    </w:p>
    <w:p w14:paraId="3FC86F9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B、负责教学科研楼内公共区域的卫生清扫、保洁（含教室、教师休息室、卫生间、楼梯、电梯、扶手、走廊、墙壁、玻璃、地面、屋面、幕墙、天花板及附属物、地下室等）；以及教室内桌椅保洁、教室门窗玻璃、窗台保洁，教室地面、墙面、天花板保洁，</w:t>
      </w:r>
      <w:r>
        <w:rPr>
          <w:rFonts w:hint="eastAsia" w:ascii="仿宋" w:hAnsi="仿宋" w:eastAsia="仿宋" w:cs="仿宋"/>
          <w:b w:val="0"/>
          <w:bCs/>
          <w:color w:val="auto"/>
          <w:sz w:val="28"/>
          <w:szCs w:val="28"/>
          <w:lang w:val="en-US" w:eastAsia="zh-CN"/>
        </w:rPr>
        <w:t>教师休息室布艺沙发、多媒体</w:t>
      </w:r>
      <w:r>
        <w:rPr>
          <w:rFonts w:hint="eastAsia" w:ascii="仿宋" w:hAnsi="仿宋" w:eastAsia="仿宋" w:cs="仿宋"/>
          <w:b w:val="0"/>
          <w:bCs/>
          <w:color w:val="auto"/>
          <w:sz w:val="28"/>
          <w:szCs w:val="28"/>
          <w:lang w:eastAsia="zh-CN"/>
        </w:rPr>
        <w:t>教室</w:t>
      </w:r>
      <w:r>
        <w:rPr>
          <w:rFonts w:hint="eastAsia" w:ascii="仿宋" w:hAnsi="仿宋" w:eastAsia="仿宋" w:cs="仿宋"/>
          <w:b w:val="0"/>
          <w:bCs/>
          <w:color w:val="auto"/>
          <w:sz w:val="28"/>
          <w:szCs w:val="28"/>
          <w:lang w:val="en-US" w:eastAsia="zh-CN"/>
        </w:rPr>
        <w:t>PUC地板及教室</w:t>
      </w:r>
      <w:r>
        <w:rPr>
          <w:rFonts w:hint="eastAsia" w:ascii="仿宋" w:hAnsi="仿宋" w:eastAsia="仿宋" w:cs="仿宋"/>
          <w:b w:val="0"/>
          <w:bCs/>
          <w:color w:val="auto"/>
          <w:sz w:val="28"/>
          <w:szCs w:val="28"/>
        </w:rPr>
        <w:t>窗帘每年暑期清洗一次（如果有污损，随时清洗）</w:t>
      </w:r>
      <w:r>
        <w:rPr>
          <w:rFonts w:hint="eastAsia" w:ascii="仿宋" w:hAnsi="仿宋" w:eastAsia="仿宋" w:cs="仿宋"/>
          <w:b w:val="0"/>
          <w:bCs/>
          <w:color w:val="auto"/>
          <w:sz w:val="28"/>
          <w:szCs w:val="28"/>
          <w:lang w:eastAsia="zh-CN"/>
        </w:rPr>
        <w:t>。</w:t>
      </w:r>
    </w:p>
    <w:p w14:paraId="36EF86A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C、负责综合实验楼内公共区域的卫生清扫、保洁（含教室、教师休息室、实验室、机房、卫生间、</w:t>
      </w:r>
      <w:r>
        <w:rPr>
          <w:rFonts w:hint="eastAsia" w:ascii="仿宋" w:hAnsi="仿宋" w:eastAsia="仿宋" w:cs="仿宋"/>
          <w:b w:val="0"/>
          <w:bCs/>
          <w:color w:val="auto"/>
          <w:sz w:val="28"/>
          <w:szCs w:val="28"/>
          <w:lang w:eastAsia="zh-CN"/>
        </w:rPr>
        <w:t>公共区域内的（展架、柜子、桌椅等附属物）、</w:t>
      </w:r>
      <w:r>
        <w:rPr>
          <w:rFonts w:hint="eastAsia" w:ascii="仿宋" w:hAnsi="仿宋" w:eastAsia="仿宋" w:cs="仿宋"/>
          <w:b w:val="0"/>
          <w:bCs/>
          <w:color w:val="auto"/>
          <w:sz w:val="28"/>
          <w:szCs w:val="28"/>
        </w:rPr>
        <w:t>楼梯、扶手、走廊、墙壁、玻璃、地面、屋面、幕墙、天花板及附属物等）；以及教室内桌椅保洁、教室门窗玻璃、窗台保洁，教室地面、墙面、天花板保洁，教室窗帘每年暑期清洗一次（如果有污损，随时清洗）。</w:t>
      </w:r>
    </w:p>
    <w:p w14:paraId="464CD7E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D、负责建树楼内公共区域的卫生清扫、保洁（含教室、教师休息室、卫生间、</w:t>
      </w:r>
      <w:r>
        <w:rPr>
          <w:rFonts w:hint="eastAsia" w:ascii="仿宋" w:hAnsi="仿宋" w:eastAsia="仿宋" w:cs="仿宋"/>
          <w:b w:val="0"/>
          <w:bCs/>
          <w:color w:val="auto"/>
          <w:sz w:val="28"/>
          <w:szCs w:val="28"/>
          <w:lang w:eastAsia="zh-CN"/>
        </w:rPr>
        <w:t>公共区域内的（展架、柜子、桌椅等附属物）、</w:t>
      </w:r>
      <w:r>
        <w:rPr>
          <w:rFonts w:hint="eastAsia" w:ascii="仿宋" w:hAnsi="仿宋" w:eastAsia="仿宋" w:cs="仿宋"/>
          <w:b w:val="0"/>
          <w:bCs/>
          <w:color w:val="auto"/>
          <w:sz w:val="28"/>
          <w:szCs w:val="28"/>
        </w:rPr>
        <w:t>楼梯、电梯、扶手、走廊、墙壁、玻璃、地面、屋面、幕墙、天花板及附属物等）；以及教室内桌椅保洁、教室门窗玻璃、窗台保洁，教室地面、墙面、天花板保洁，教室窗帘每年暑期清洗一次（如果有污损，随时清洗）。</w:t>
      </w:r>
    </w:p>
    <w:p w14:paraId="77FC6DE6">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E、负责第三餐厅三楼大学生创业基地内公共区域的卫生清扫、保洁（含卫生间、楼梯、电梯、扶手、走廊、墙壁、玻璃、地面、屋面、幕墙、天花板及附属物等）。</w:t>
      </w:r>
    </w:p>
    <w:p w14:paraId="4FB263F0">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F、</w:t>
      </w:r>
      <w:r>
        <w:rPr>
          <w:rFonts w:hint="eastAsia" w:ascii="仿宋" w:hAnsi="仿宋" w:eastAsia="仿宋" w:cs="仿宋"/>
          <w:b w:val="0"/>
          <w:bCs/>
          <w:color w:val="auto"/>
          <w:sz w:val="28"/>
          <w:szCs w:val="28"/>
          <w:highlight w:val="none"/>
        </w:rPr>
        <w:t>负责</w:t>
      </w:r>
      <w:r>
        <w:rPr>
          <w:rFonts w:hint="eastAsia" w:ascii="仿宋" w:hAnsi="仿宋" w:eastAsia="仿宋" w:cs="仿宋"/>
          <w:b w:val="0"/>
          <w:bCs/>
          <w:color w:val="auto"/>
          <w:sz w:val="28"/>
          <w:szCs w:val="28"/>
          <w:highlight w:val="none"/>
          <w:lang w:eastAsia="zh-CN"/>
        </w:rPr>
        <w:t>大学生科创中心</w:t>
      </w:r>
      <w:r>
        <w:rPr>
          <w:rFonts w:hint="eastAsia" w:ascii="仿宋" w:hAnsi="仿宋" w:eastAsia="仿宋" w:cs="仿宋"/>
          <w:b w:val="0"/>
          <w:bCs/>
          <w:color w:val="auto"/>
          <w:sz w:val="28"/>
          <w:szCs w:val="28"/>
          <w:highlight w:val="none"/>
        </w:rPr>
        <w:t>内公共区域的卫生清扫、保洁（含</w:t>
      </w:r>
      <w:r>
        <w:rPr>
          <w:rFonts w:hint="eastAsia" w:ascii="仿宋" w:hAnsi="仿宋" w:eastAsia="仿宋" w:cs="仿宋"/>
          <w:b w:val="0"/>
          <w:bCs/>
          <w:color w:val="auto"/>
          <w:sz w:val="28"/>
          <w:szCs w:val="28"/>
          <w:highlight w:val="none"/>
          <w:lang w:eastAsia="zh-CN"/>
        </w:rPr>
        <w:t>礼堂、办公公共区域、</w:t>
      </w:r>
      <w:r>
        <w:rPr>
          <w:rFonts w:hint="eastAsia" w:ascii="仿宋" w:hAnsi="仿宋" w:eastAsia="仿宋" w:cs="仿宋"/>
          <w:b w:val="0"/>
          <w:bCs/>
          <w:color w:val="auto"/>
          <w:sz w:val="28"/>
          <w:szCs w:val="28"/>
          <w:highlight w:val="none"/>
        </w:rPr>
        <w:t>教室、教师休息室、卫生间、楼梯、电梯、扶手、走廊、墙壁、玻璃、地面、屋面、幕墙、天花板及附属物、地下室等）；以及教室内桌椅保洁、教室门窗玻璃、窗台保洁，教室地面、墙面、天花板保洁，</w:t>
      </w:r>
      <w:r>
        <w:rPr>
          <w:rFonts w:hint="eastAsia" w:ascii="仿宋" w:hAnsi="仿宋" w:eastAsia="仿宋" w:cs="仿宋"/>
          <w:b w:val="0"/>
          <w:bCs/>
          <w:color w:val="auto"/>
          <w:sz w:val="28"/>
          <w:szCs w:val="28"/>
          <w:highlight w:val="none"/>
          <w:lang w:eastAsia="zh-CN"/>
        </w:rPr>
        <w:t>会议室地毯、</w:t>
      </w:r>
      <w:r>
        <w:rPr>
          <w:rFonts w:hint="eastAsia" w:ascii="仿宋" w:hAnsi="仿宋" w:eastAsia="仿宋" w:cs="仿宋"/>
          <w:b w:val="0"/>
          <w:bCs/>
          <w:color w:val="auto"/>
          <w:sz w:val="28"/>
          <w:szCs w:val="28"/>
          <w:highlight w:val="none"/>
        </w:rPr>
        <w:t>教室窗帘每年暑期清洗一次（如果有污损，随时清洗）。</w:t>
      </w:r>
    </w:p>
    <w:p w14:paraId="2398A45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G</w:t>
      </w:r>
      <w:r>
        <w:rPr>
          <w:rFonts w:hint="eastAsia" w:ascii="仿宋" w:hAnsi="仿宋" w:eastAsia="仿宋" w:cs="仿宋"/>
          <w:b w:val="0"/>
          <w:bCs/>
          <w:color w:val="auto"/>
          <w:sz w:val="28"/>
          <w:szCs w:val="28"/>
        </w:rPr>
        <w:t>、负责室内体育馆内公共区域的卫生清扫、保洁（含卫生间、楼梯、扶手、走廊、墙壁、地面、屋面、玻璃、幕墙及附属物等）。</w:t>
      </w:r>
    </w:p>
    <w:p w14:paraId="1C5DE0F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H、</w:t>
      </w:r>
      <w:r>
        <w:rPr>
          <w:rFonts w:hint="eastAsia" w:ascii="仿宋" w:hAnsi="仿宋" w:eastAsia="仿宋" w:cs="仿宋"/>
          <w:b w:val="0"/>
          <w:bCs/>
          <w:color w:val="auto"/>
          <w:sz w:val="28"/>
          <w:szCs w:val="28"/>
        </w:rPr>
        <w:t>怡苑4号楼后艺术学院琴房、第二商业街2楼艺术学院音乐教室的卫生清扫、保洁（含卫生间、楼梯、扶手、走廊、墙壁、玻璃、地面、屋面、幕墙、天花板及附属物等）。</w:t>
      </w:r>
    </w:p>
    <w:p w14:paraId="4EDE6C09">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3.学生公寓区</w:t>
      </w:r>
    </w:p>
    <w:p w14:paraId="6179073D">
      <w:pPr>
        <w:pageBreakBefore w:val="0"/>
        <w:tabs>
          <w:tab w:val="left" w:pos="424"/>
        </w:tabs>
        <w:kinsoku/>
        <w:wordWrap/>
        <w:overflowPunct/>
        <w:topLinePunct w:val="0"/>
        <w:autoSpaceDE/>
        <w:autoSpaceDN/>
        <w:bidi w:val="0"/>
        <w:spacing w:line="360" w:lineRule="auto"/>
        <w:ind w:left="0" w:leftChars="0" w:right="0"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负责学生公寓内公共区域的卫生清扫、保洁（含</w:t>
      </w:r>
      <w:r>
        <w:rPr>
          <w:rFonts w:hint="eastAsia" w:ascii="仿宋" w:hAnsi="仿宋" w:eastAsia="仿宋" w:cs="仿宋"/>
          <w:bCs/>
          <w:color w:val="auto"/>
          <w:sz w:val="28"/>
          <w:szCs w:val="28"/>
          <w:lang w:eastAsia="zh-CN"/>
        </w:rPr>
        <w:t>书院办公公共用区域及卫生间、步梯）、</w:t>
      </w:r>
      <w:r>
        <w:rPr>
          <w:rFonts w:hint="eastAsia" w:ascii="仿宋" w:hAnsi="仿宋" w:eastAsia="仿宋" w:cs="仿宋"/>
          <w:bCs/>
          <w:color w:val="auto"/>
          <w:sz w:val="28"/>
          <w:szCs w:val="28"/>
        </w:rPr>
        <w:t>多功能室、卫生间、洗衣间、楼梯、扶手、电梯、走廊、墙壁、玻璃、地面、地漏、屋面、天棚、幕墙、天花板及附属物等）。对怡苑宿舍楼电梯内部不锈钢部分进行定期防锈保养，对楼内小广告和涂鸦及时清理，对毕业生宿舍窗帘每年清洗一次，毕业生宿舍门外部进行清洁保养，宿舍电扇保洁一次，楼内灯具内外定期清洁，有污损随时清洗。对怡苑4栋学生公寓的窗户玻璃每年保洁一次，对静苑、雅苑、馨苑学生公寓公共区域玻璃常年保洁。</w:t>
      </w:r>
    </w:p>
    <w:p w14:paraId="52456F56">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4.商业街区</w:t>
      </w:r>
    </w:p>
    <w:p w14:paraId="645B787C">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负责第1商业街和第2商业街（重点在3楼、4楼公共区域）商户经营区以外</w:t>
      </w:r>
      <w:r>
        <w:rPr>
          <w:rFonts w:hint="eastAsia" w:ascii="仿宋" w:hAnsi="仿宋" w:eastAsia="仿宋" w:cs="仿宋"/>
          <w:bCs/>
          <w:color w:val="auto"/>
          <w:sz w:val="28"/>
          <w:szCs w:val="28"/>
          <w:lang w:eastAsia="zh-CN"/>
        </w:rPr>
        <w:t>周边</w:t>
      </w:r>
      <w:r>
        <w:rPr>
          <w:rFonts w:hint="eastAsia" w:ascii="仿宋" w:hAnsi="仿宋" w:eastAsia="仿宋" w:cs="仿宋"/>
          <w:bCs/>
          <w:color w:val="auto"/>
          <w:sz w:val="28"/>
          <w:szCs w:val="28"/>
        </w:rPr>
        <w:t>公共区域的卫生清扫、保洁（含卫生间、洗衣间、楼梯、扶手、走廊、墙壁、平台、玻璃、地面、地漏、屋面、幕墙、天花板及附属物等）。负责第1商业街三楼招待所室内保洁，包括家具、用品、床单、被罩、窗帘等,第一商业街2层玻璃雨棚。</w:t>
      </w:r>
    </w:p>
    <w:p w14:paraId="17F596AB">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5.玻璃及幕墙</w:t>
      </w:r>
    </w:p>
    <w:p w14:paraId="6ADB3DDE">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负责校园内各楼宇（含食堂及学生公寓）玻璃及幕墙的清洁工作，每年进行1次保洁，保持幕墙洁亮，如遇学校举行重大活动，需根据学校工作要求进行玻璃幕墙保洁。</w:t>
      </w:r>
    </w:p>
    <w:p w14:paraId="5B45479C">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6.垃圾桶（篓）</w:t>
      </w:r>
    </w:p>
    <w:p w14:paraId="767FC980">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负责楼宇、公寓及校园垃圾桶（篓）的清洁及购置工作。每天擦拭，集中清洁工作夏天两天一次，冬季一周一次，如遇学校重大活动，需根据学校工作要求进行垃圾桶（篓）保洁。垃圾桶（篓）购置换新一年</w:t>
      </w:r>
      <w:r>
        <w:rPr>
          <w:rFonts w:hint="eastAsia" w:ascii="仿宋" w:hAnsi="仿宋" w:eastAsia="仿宋" w:cs="仿宋"/>
          <w:bCs/>
          <w:color w:val="auto"/>
          <w:sz w:val="28"/>
          <w:szCs w:val="28"/>
          <w:lang w:val="en-US" w:eastAsia="zh-CN"/>
        </w:rPr>
        <w:t>一</w:t>
      </w:r>
      <w:r>
        <w:rPr>
          <w:rFonts w:hint="eastAsia" w:ascii="仿宋" w:hAnsi="仿宋" w:eastAsia="仿宋" w:cs="仿宋"/>
          <w:bCs/>
          <w:color w:val="auto"/>
          <w:sz w:val="28"/>
          <w:szCs w:val="28"/>
        </w:rPr>
        <w:t>次。</w:t>
      </w:r>
    </w:p>
    <w:p w14:paraId="09467F47">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7.除四害消杀</w:t>
      </w:r>
    </w:p>
    <w:p w14:paraId="25859030">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四月中下旬至十一月上旬，每日一次灭蚊蝇工作，每周清理灭蚊蝇缸（笼）1次，每季度统一投放灭蟑、灭鼠、灭虫害药物至少3次，并及时做好消杀记录台账</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每学期开学前重点消杀</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根据学校工作实际进行专项消杀。</w:t>
      </w:r>
    </w:p>
    <w:p w14:paraId="5C4B0522">
      <w:pPr>
        <w:pageBreakBefore w:val="0"/>
        <w:tabs>
          <w:tab w:val="left" w:pos="424"/>
        </w:tabs>
        <w:kinsoku/>
        <w:wordWrap/>
        <w:overflowPunct/>
        <w:topLinePunct w:val="0"/>
        <w:autoSpaceDE/>
        <w:autoSpaceDN/>
        <w:bidi w:val="0"/>
        <w:spacing w:line="360" w:lineRule="auto"/>
        <w:ind w:left="0" w:leftChars="0" w:right="0" w:firstLine="562" w:firstLineChars="200"/>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8.校园内公共厕所</w:t>
      </w:r>
    </w:p>
    <w:p w14:paraId="2A7A3A1C">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每天两次对卫生间全面保洁，且巡回保洁2次；卫生间无异味、无积水，有熏香樟脑丸等洁厕物品、厕坑便具洁净无污物、无黄渍、镜面、水盆、台面、水龙头无污点，光亮；纸篓加装垃圾袋并随时清理。</w:t>
      </w:r>
    </w:p>
    <w:p w14:paraId="55D020EC">
      <w:pPr>
        <w:pageBreakBefore w:val="0"/>
        <w:tabs>
          <w:tab w:val="left" w:pos="424"/>
        </w:tabs>
        <w:kinsoku/>
        <w:wordWrap/>
        <w:overflowPunct/>
        <w:topLinePunct w:val="0"/>
        <w:autoSpaceDE/>
        <w:autoSpaceDN/>
        <w:bidi w:val="0"/>
        <w:spacing w:line="360" w:lineRule="auto"/>
        <w:ind w:left="0" w:leftChars="0" w:right="0"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9.校园开水房</w:t>
      </w:r>
    </w:p>
    <w:p w14:paraId="6DB993A1">
      <w:pPr>
        <w:pageBreakBefore w:val="0"/>
        <w:tabs>
          <w:tab w:val="left" w:pos="424"/>
        </w:tabs>
        <w:kinsoku/>
        <w:wordWrap/>
        <w:overflowPunct/>
        <w:topLinePunct w:val="0"/>
        <w:autoSpaceDE/>
        <w:autoSpaceDN/>
        <w:bidi w:val="0"/>
        <w:spacing w:line="360" w:lineRule="auto"/>
        <w:ind w:left="0" w:leftChars="0" w:right="0" w:firstLine="560" w:firstLineChars="200"/>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rPr>
        <w:t>每天两次对开水房全面保洁，且巡回保洁2次；开水房地面无积水，水槽、水龙头无污点，不锈钢表面无积尘，无污渍、光亮。</w:t>
      </w:r>
    </w:p>
    <w:p w14:paraId="6BBD3D8F">
      <w:pPr>
        <w:pStyle w:val="19"/>
        <w:pageBreakBefore w:val="0"/>
        <w:numPr>
          <w:ilvl w:val="0"/>
          <w:numId w:val="0"/>
        </w:numPr>
        <w:kinsoku/>
        <w:wordWrap/>
        <w:overflowPunct/>
        <w:topLinePunct w:val="0"/>
        <w:autoSpaceDE/>
        <w:autoSpaceDN/>
        <w:bidi w:val="0"/>
        <w:spacing w:line="360" w:lineRule="auto"/>
        <w:ind w:left="0" w:leftChars="0" w:right="0" w:firstLine="562" w:firstLineChars="20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10.多媒体教室及室内体育馆</w:t>
      </w:r>
    </w:p>
    <w:p w14:paraId="148265FF">
      <w:pPr>
        <w:pStyle w:val="19"/>
        <w:pageBreakBefore w:val="0"/>
        <w:numPr>
          <w:ilvl w:val="0"/>
          <w:numId w:val="0"/>
        </w:numPr>
        <w:kinsoku/>
        <w:wordWrap/>
        <w:overflowPunct/>
        <w:topLinePunct w:val="0"/>
        <w:autoSpaceDE/>
        <w:autoSpaceDN/>
        <w:bidi w:val="0"/>
        <w:spacing w:line="360" w:lineRule="auto"/>
        <w:ind w:left="0" w:leftChars="0" w:right="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教学1号楼及教学科研楼多媒体教室PUC地板，体育馆木地板每年保养1次（包含地面清洁、打蜡）。</w:t>
      </w:r>
    </w:p>
    <w:p w14:paraId="7A0E6221">
      <w:pPr>
        <w:pStyle w:val="19"/>
        <w:pageBreakBefore w:val="0"/>
        <w:numPr>
          <w:ilvl w:val="0"/>
          <w:numId w:val="0"/>
        </w:numPr>
        <w:kinsoku/>
        <w:wordWrap/>
        <w:overflowPunct/>
        <w:topLinePunct w:val="0"/>
        <w:bidi w:val="0"/>
        <w:spacing w:line="360" w:lineRule="auto"/>
        <w:ind w:left="0" w:leftChars="0" w:right="0" w:firstLine="587" w:firstLineChars="209"/>
        <w:rPr>
          <w:rFonts w:hint="eastAsia" w:ascii="仿宋" w:hAnsi="仿宋" w:eastAsia="仿宋" w:cs="仿宋"/>
          <w:b/>
          <w:color w:val="auto"/>
          <w:sz w:val="28"/>
          <w:szCs w:val="28"/>
        </w:rPr>
      </w:pPr>
      <w:bookmarkStart w:id="562" w:name="_Toc25671"/>
      <w:r>
        <w:rPr>
          <w:rFonts w:hint="eastAsia" w:ascii="仿宋" w:hAnsi="仿宋" w:eastAsia="仿宋" w:cs="仿宋"/>
          <w:b/>
          <w:color w:val="auto"/>
          <w:sz w:val="28"/>
          <w:szCs w:val="28"/>
          <w:lang w:val="en-US" w:eastAsia="zh-CN"/>
        </w:rPr>
        <w:t>11.</w:t>
      </w:r>
      <w:r>
        <w:rPr>
          <w:rFonts w:hint="eastAsia" w:ascii="仿宋" w:hAnsi="仿宋" w:eastAsia="仿宋" w:cs="仿宋"/>
          <w:b/>
          <w:color w:val="auto"/>
          <w:sz w:val="28"/>
          <w:szCs w:val="28"/>
        </w:rPr>
        <w:t>各楼宇情况</w:t>
      </w:r>
    </w:p>
    <w:p w14:paraId="09D4C85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保洁服务范围内各楼宇名称、建筑面积、楼层数等详细情况见下表：</w:t>
      </w:r>
    </w:p>
    <w:p w14:paraId="4FF1EB03">
      <w:pPr>
        <w:pageBreakBefore w:val="0"/>
        <w:tabs>
          <w:tab w:val="left" w:pos="424"/>
        </w:tabs>
        <w:kinsoku/>
        <w:wordWrap/>
        <w:overflowPunct/>
        <w:topLinePunct w:val="0"/>
        <w:autoSpaceDE/>
        <w:autoSpaceDN/>
        <w:bidi w:val="0"/>
        <w:spacing w:line="360" w:lineRule="auto"/>
        <w:ind w:left="0" w:leftChars="0" w:right="0"/>
        <w:jc w:val="center"/>
        <w:outlineLvl w:val="9"/>
        <w:rPr>
          <w:rFonts w:hint="eastAsia" w:ascii="仿宋" w:hAnsi="仿宋" w:eastAsia="仿宋" w:cs="仿宋"/>
          <w:bCs/>
          <w:color w:val="auto"/>
          <w:sz w:val="28"/>
          <w:szCs w:val="28"/>
        </w:rPr>
      </w:pPr>
      <w:r>
        <w:rPr>
          <w:rFonts w:hint="eastAsia" w:ascii="仿宋" w:hAnsi="仿宋" w:eastAsia="仿宋" w:cs="仿宋"/>
          <w:b/>
          <w:color w:val="auto"/>
          <w:sz w:val="28"/>
          <w:szCs w:val="28"/>
        </w:rPr>
        <w:t>服务范围内各楼宇的基本情况汇总表</w:t>
      </w:r>
    </w:p>
    <w:tbl>
      <w:tblPr>
        <w:tblStyle w:val="53"/>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4"/>
        <w:gridCol w:w="2070"/>
        <w:gridCol w:w="2110"/>
        <w:gridCol w:w="1220"/>
        <w:gridCol w:w="3414"/>
      </w:tblGrid>
      <w:tr w14:paraId="2632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14:paraId="2A54E6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序号</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C7707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楼宇名称</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110A9E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建筑面积（</w:t>
            </w:r>
            <w:r>
              <w:rPr>
                <w:rFonts w:hint="eastAsia" w:ascii="宋体" w:hAnsi="宋体" w:eastAsia="宋体" w:cs="宋体"/>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noWrap/>
            <w:vAlign w:val="center"/>
          </w:tcPr>
          <w:p w14:paraId="2A0A36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保洁人数</w:t>
            </w:r>
          </w:p>
        </w:tc>
        <w:tc>
          <w:tcPr>
            <w:tcW w:w="3414" w:type="dxa"/>
            <w:tcBorders>
              <w:top w:val="single" w:color="000000" w:sz="4" w:space="0"/>
              <w:left w:val="single" w:color="000000" w:sz="4" w:space="0"/>
              <w:bottom w:val="single" w:color="000000" w:sz="4" w:space="0"/>
              <w:right w:val="single" w:color="000000" w:sz="4" w:space="0"/>
            </w:tcBorders>
            <w:noWrap/>
            <w:vAlign w:val="center"/>
          </w:tcPr>
          <w:p w14:paraId="7DB166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备注</w:t>
            </w:r>
          </w:p>
        </w:tc>
      </w:tr>
      <w:tr w14:paraId="6761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3F776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4DF0E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行政办公楼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DE00889">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33318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52CB0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7</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0ACF6C6D">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（含地下一层）</w:t>
            </w:r>
          </w:p>
        </w:tc>
      </w:tr>
      <w:tr w14:paraId="64A5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9F218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736505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法学部</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6BDB0677">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6206.18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75AA1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305B869B">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p>
        </w:tc>
      </w:tr>
      <w:tr w14:paraId="2BF3E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BAE22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45B8A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校医院</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306B675">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5387.37</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7E540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0420EE00">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p>
        </w:tc>
      </w:tr>
      <w:tr w14:paraId="5A3F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330A85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7E5D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图书馆</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F876C04">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47573.78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C6547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7</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416F85CD">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（含地下一层）</w:t>
            </w:r>
          </w:p>
        </w:tc>
      </w:tr>
      <w:tr w14:paraId="6D87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488DB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5</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426F0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1、2号教学楼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CD3F493">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48738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F745E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278B50F8">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（含地下一层）</w:t>
            </w:r>
          </w:p>
        </w:tc>
      </w:tr>
      <w:tr w14:paraId="5C3D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2B184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6</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D0D4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教学科研楼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5B3C71CC">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32824.3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56223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6</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0E4F49AB">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（含地下一层）</w:t>
            </w:r>
          </w:p>
        </w:tc>
      </w:tr>
      <w:tr w14:paraId="3D13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FC33F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7</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DB79C1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建树楼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FB3C820">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15508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7C6B9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4</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0E5F01E7">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p>
        </w:tc>
      </w:tr>
      <w:tr w14:paraId="6D3E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6BB1F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8</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AE387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综合实验楼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2A6E6F6">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28195.1</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B9F08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4</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5CB27CD2">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p>
        </w:tc>
      </w:tr>
      <w:tr w14:paraId="6D99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9BD37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9</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B330F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教职工活动中心</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1930044">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4797.77</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3F51A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15C52E9A">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p>
        </w:tc>
      </w:tr>
      <w:tr w14:paraId="0FF7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F1CC9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10</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EC9C2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auto"/>
                <w:kern w:val="0"/>
                <w:sz w:val="24"/>
                <w:szCs w:val="24"/>
                <w:highlight w:val="none"/>
                <w:u w:val="none"/>
                <w:lang w:val="en-US" w:eastAsia="zh-CN" w:bidi="ar"/>
              </w:rPr>
              <w:t>体育馆</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236D041">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color w:val="auto"/>
                <w:sz w:val="24"/>
                <w:szCs w:val="24"/>
                <w:lang w:val="en-US" w:eastAsia="zh-CN"/>
              </w:rPr>
              <w:t>4290</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CED09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2F8934F0">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i w:val="0"/>
                <w:iCs w:val="0"/>
                <w:color w:val="auto"/>
                <w:kern w:val="0"/>
                <w:sz w:val="24"/>
                <w:szCs w:val="24"/>
                <w:highlight w:val="none"/>
                <w:u w:val="none"/>
                <w:lang w:val="en-US" w:eastAsia="zh-CN" w:bidi="ar"/>
              </w:rPr>
              <w:t>办公区（含室内训练教室）</w:t>
            </w:r>
          </w:p>
        </w:tc>
      </w:tr>
      <w:tr w14:paraId="62F5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B7C3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11</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E522C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第一商业楼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54039FDA">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4103.38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6F1C8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70219941">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含商业街周边含停车场</w:t>
            </w:r>
          </w:p>
        </w:tc>
      </w:tr>
      <w:tr w14:paraId="7BD0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6A51D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12</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16191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第二商业楼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A331D73">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rPr>
              <w:t>2742.02</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AB34B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58991C57">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含商业街周边及西大门外</w:t>
            </w:r>
          </w:p>
        </w:tc>
      </w:tr>
      <w:tr w14:paraId="634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C74A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13</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8A46B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雅苑1--8号楼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55E934D">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65166.5</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86590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16</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2E0B8569">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67C7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8190E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14</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2A301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馨苑1--3号楼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67CE7EAE">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23952.4</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84121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6</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7E3BFB33">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77F6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81E44C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15</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C0E0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静苑1--6号楼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40236A40">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66157.4</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770BD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16</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1FD616B9">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305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2C44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16</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2D86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怡苑1号楼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0560DD9">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14679</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FBF2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3</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0B4F7A3F">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7E38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90257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17</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46BC0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怡苑2号楼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F357125">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14679</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27927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3</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48A3B31A">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5CA3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3410C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18</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99A2A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怡苑3号楼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ABD58D3">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14679</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1FD49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3</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467CF1B5">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626E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441C8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19</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392C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怡苑4号楼</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D1600F0">
            <w:pPr>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16017.3</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30D71D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3</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370FC45D">
            <w:pPr>
              <w:keepNext w:val="0"/>
              <w:keepLines w:val="0"/>
              <w:pageBreakBefore w:val="0"/>
              <w:widowControl/>
              <w:kinsoku/>
              <w:wordWrap/>
              <w:overflowPunct/>
              <w:topLinePunct w:val="0"/>
              <w:autoSpaceDE/>
              <w:autoSpaceDN/>
              <w:bidi w:val="0"/>
              <w:adjustRightInd/>
              <w:snapToGrid/>
              <w:spacing w:line="360" w:lineRule="auto"/>
              <w:ind w:left="0" w:leftChars="0" w:right="0"/>
              <w:jc w:val="center"/>
              <w:rPr>
                <w:rFonts w:hint="eastAsia" w:ascii="仿宋" w:hAnsi="仿宋" w:eastAsia="仿宋" w:cs="仿宋"/>
                <w:b w:val="0"/>
                <w:bCs w:val="0"/>
                <w:color w:val="auto"/>
                <w:sz w:val="24"/>
                <w:szCs w:val="24"/>
                <w:lang w:eastAsia="zh-CN"/>
              </w:rPr>
            </w:pPr>
          </w:p>
        </w:tc>
      </w:tr>
      <w:tr w14:paraId="6FDA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14:paraId="42384B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20</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944EE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外围卫生间</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3E191A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noWrap/>
            <w:vAlign w:val="center"/>
          </w:tcPr>
          <w:p w14:paraId="17F290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w:t>
            </w:r>
          </w:p>
        </w:tc>
        <w:tc>
          <w:tcPr>
            <w:tcW w:w="3414" w:type="dxa"/>
            <w:tcBorders>
              <w:top w:val="single" w:color="000000" w:sz="4" w:space="0"/>
              <w:left w:val="single" w:color="000000" w:sz="4" w:space="0"/>
              <w:bottom w:val="single" w:color="000000" w:sz="4" w:space="0"/>
              <w:right w:val="single" w:color="000000" w:sz="4" w:space="0"/>
            </w:tcBorders>
            <w:noWrap/>
            <w:vAlign w:val="center"/>
          </w:tcPr>
          <w:p w14:paraId="2EF88F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含创新创业教育示范基地</w:t>
            </w:r>
          </w:p>
        </w:tc>
      </w:tr>
      <w:tr w14:paraId="4878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14:paraId="189408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21</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CC713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室内训练馆</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7FF07C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5421.27</w:t>
            </w:r>
          </w:p>
        </w:tc>
        <w:tc>
          <w:tcPr>
            <w:tcW w:w="1220" w:type="dxa"/>
            <w:tcBorders>
              <w:top w:val="single" w:color="000000" w:sz="4" w:space="0"/>
              <w:left w:val="single" w:color="000000" w:sz="4" w:space="0"/>
              <w:bottom w:val="single" w:color="000000" w:sz="4" w:space="0"/>
              <w:right w:val="single" w:color="000000" w:sz="4" w:space="0"/>
            </w:tcBorders>
            <w:noWrap/>
            <w:vAlign w:val="center"/>
          </w:tcPr>
          <w:p w14:paraId="02C61A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2</w:t>
            </w:r>
          </w:p>
        </w:tc>
        <w:tc>
          <w:tcPr>
            <w:tcW w:w="3414" w:type="dxa"/>
            <w:tcBorders>
              <w:top w:val="single" w:color="000000" w:sz="4" w:space="0"/>
              <w:left w:val="single" w:color="000000" w:sz="4" w:space="0"/>
              <w:bottom w:val="single" w:color="000000" w:sz="4" w:space="0"/>
              <w:right w:val="single" w:color="000000" w:sz="4" w:space="0"/>
            </w:tcBorders>
            <w:noWrap/>
            <w:vAlign w:val="center"/>
          </w:tcPr>
          <w:p w14:paraId="1BB00C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含外部网球场及琴房</w:t>
            </w:r>
          </w:p>
        </w:tc>
      </w:tr>
      <w:tr w14:paraId="048E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DEE64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22</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FEC9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大学生科创中心</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42A2C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33775.48</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26EAD9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2"/>
                <w:sz w:val="24"/>
                <w:szCs w:val="24"/>
                <w:u w:val="none"/>
                <w:lang w:val="en-US" w:eastAsia="zh-CN" w:bidi="ar-SA"/>
              </w:rPr>
              <w:t>6</w:t>
            </w:r>
          </w:p>
        </w:tc>
        <w:tc>
          <w:tcPr>
            <w:tcW w:w="3414" w:type="dxa"/>
            <w:tcBorders>
              <w:top w:val="single" w:color="000000" w:sz="4" w:space="0"/>
              <w:left w:val="single" w:color="000000" w:sz="4" w:space="0"/>
              <w:bottom w:val="single" w:color="000000" w:sz="4" w:space="0"/>
              <w:right w:val="single" w:color="000000" w:sz="4" w:space="0"/>
            </w:tcBorders>
            <w:noWrap w:val="0"/>
            <w:vAlign w:val="center"/>
          </w:tcPr>
          <w:p w14:paraId="7DF00DB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含地下一层、外围步梯及平台</w:t>
            </w:r>
          </w:p>
        </w:tc>
      </w:tr>
      <w:tr w14:paraId="4DFA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14:paraId="43CFB8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23</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EFF2E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保洁主管</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3B09CD0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noWrap/>
            <w:vAlign w:val="center"/>
          </w:tcPr>
          <w:p w14:paraId="0EB482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2"/>
                <w:sz w:val="24"/>
                <w:szCs w:val="24"/>
                <w:u w:val="none"/>
                <w:lang w:val="en-US" w:eastAsia="zh-CN" w:bidi="ar-SA"/>
              </w:rPr>
            </w:pPr>
            <w:r>
              <w:rPr>
                <w:rFonts w:hint="eastAsia" w:ascii="仿宋" w:hAnsi="仿宋" w:eastAsia="仿宋" w:cs="仿宋"/>
                <w:b w:val="0"/>
                <w:bCs w:val="0"/>
                <w:i w:val="0"/>
                <w:iCs w:val="0"/>
                <w:color w:val="auto"/>
                <w:kern w:val="0"/>
                <w:sz w:val="24"/>
                <w:szCs w:val="24"/>
                <w:u w:val="none"/>
                <w:lang w:val="en-US" w:eastAsia="zh-CN" w:bidi="ar"/>
              </w:rPr>
              <w:t>1</w:t>
            </w:r>
          </w:p>
        </w:tc>
        <w:tc>
          <w:tcPr>
            <w:tcW w:w="3414" w:type="dxa"/>
            <w:tcBorders>
              <w:top w:val="single" w:color="000000" w:sz="4" w:space="0"/>
              <w:left w:val="single" w:color="000000" w:sz="4" w:space="0"/>
              <w:bottom w:val="single" w:color="000000" w:sz="4" w:space="0"/>
              <w:right w:val="single" w:color="000000" w:sz="4" w:space="0"/>
            </w:tcBorders>
            <w:noWrap/>
            <w:vAlign w:val="center"/>
          </w:tcPr>
          <w:p w14:paraId="076EEC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rPr>
            </w:pPr>
          </w:p>
        </w:tc>
      </w:tr>
      <w:tr w14:paraId="5F14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14:paraId="0E57D3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E6807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合计</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7F6386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noWrap/>
            <w:vAlign w:val="center"/>
          </w:tcPr>
          <w:p w14:paraId="7FDD0BD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110</w:t>
            </w:r>
          </w:p>
        </w:tc>
        <w:tc>
          <w:tcPr>
            <w:tcW w:w="3414" w:type="dxa"/>
            <w:tcBorders>
              <w:top w:val="single" w:color="000000" w:sz="4" w:space="0"/>
              <w:left w:val="single" w:color="000000" w:sz="4" w:space="0"/>
              <w:bottom w:val="single" w:color="000000" w:sz="4" w:space="0"/>
              <w:right w:val="single" w:color="000000" w:sz="4" w:space="0"/>
            </w:tcBorders>
            <w:noWrap/>
            <w:vAlign w:val="center"/>
          </w:tcPr>
          <w:p w14:paraId="07DA3C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jc w:val="center"/>
              <w:textAlignment w:val="center"/>
              <w:rPr>
                <w:rFonts w:hint="eastAsia" w:ascii="仿宋" w:hAnsi="仿宋" w:eastAsia="仿宋" w:cs="仿宋"/>
                <w:b w:val="0"/>
                <w:bCs w:val="0"/>
                <w:i w:val="0"/>
                <w:iCs w:val="0"/>
                <w:color w:val="auto"/>
                <w:sz w:val="24"/>
                <w:szCs w:val="24"/>
                <w:u w:val="none"/>
              </w:rPr>
            </w:pPr>
          </w:p>
        </w:tc>
      </w:tr>
    </w:tbl>
    <w:p w14:paraId="7745644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sz w:val="28"/>
          <w:szCs w:val="28"/>
        </w:rPr>
      </w:pPr>
      <w:r>
        <w:rPr>
          <w:rFonts w:hint="eastAsia" w:ascii="仿宋" w:hAnsi="仿宋" w:eastAsia="仿宋" w:cs="仿宋"/>
          <w:color w:val="auto"/>
          <w:position w:val="-1"/>
          <w:sz w:val="28"/>
          <w:szCs w:val="28"/>
        </w:rPr>
        <w:t>注：投标人可实地勘察。</w:t>
      </w:r>
    </w:p>
    <w:p w14:paraId="23814480">
      <w:pPr>
        <w:pStyle w:val="9"/>
        <w:pageBreakBefore w:val="0"/>
        <w:tabs>
          <w:tab w:val="left" w:pos="840"/>
        </w:tabs>
        <w:kinsoku/>
        <w:wordWrap/>
        <w:overflowPunct/>
        <w:topLinePunct w:val="0"/>
        <w:autoSpaceDE/>
        <w:autoSpaceDN/>
        <w:bidi w:val="0"/>
        <w:spacing w:before="0" w:after="0" w:line="360" w:lineRule="auto"/>
        <w:ind w:left="0" w:leftChars="0" w:right="0" w:firstLine="562" w:firstLineChars="200"/>
        <w:jc w:val="both"/>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）服务标准</w:t>
      </w:r>
      <w:bookmarkEnd w:id="562"/>
      <w:r>
        <w:rPr>
          <w:rFonts w:hint="eastAsia" w:ascii="仿宋" w:hAnsi="仿宋" w:eastAsia="仿宋" w:cs="仿宋"/>
          <w:color w:val="auto"/>
          <w:sz w:val="28"/>
          <w:szCs w:val="28"/>
          <w:lang w:val="en-US" w:eastAsia="zh-CN"/>
        </w:rPr>
        <w:t>及质量要求</w:t>
      </w:r>
    </w:p>
    <w:p w14:paraId="1509B2F8">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在采购人提出的楼宇保洁服务标准和质量标准的基础上，由供应商提供规范化的保洁服务标准、服务质量控制标准和服务评价与改进标准。</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219"/>
        <w:gridCol w:w="3172"/>
        <w:gridCol w:w="3024"/>
      </w:tblGrid>
      <w:tr w14:paraId="4A2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52" w:type="dxa"/>
            <w:noWrap w:val="0"/>
            <w:vAlign w:val="center"/>
          </w:tcPr>
          <w:p w14:paraId="290D558C">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项目</w:t>
            </w:r>
          </w:p>
        </w:tc>
        <w:tc>
          <w:tcPr>
            <w:tcW w:w="2088" w:type="dxa"/>
            <w:noWrap w:val="0"/>
            <w:vAlign w:val="center"/>
          </w:tcPr>
          <w:p w14:paraId="3E911C8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保洁范围</w:t>
            </w:r>
          </w:p>
        </w:tc>
        <w:tc>
          <w:tcPr>
            <w:tcW w:w="2985" w:type="dxa"/>
            <w:noWrap w:val="0"/>
            <w:vAlign w:val="center"/>
          </w:tcPr>
          <w:p w14:paraId="31703580">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作业频率</w:t>
            </w:r>
          </w:p>
        </w:tc>
        <w:tc>
          <w:tcPr>
            <w:tcW w:w="2846" w:type="dxa"/>
            <w:noWrap w:val="0"/>
            <w:vAlign w:val="center"/>
          </w:tcPr>
          <w:p w14:paraId="2065F027">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服务质量标准</w:t>
            </w:r>
          </w:p>
        </w:tc>
      </w:tr>
      <w:tr w14:paraId="1268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1AB372F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C9C0F4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3D1E77D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30A7059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65A6E34">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230E31A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B64DEA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06613C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53CD42B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1638C4DA">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教学楼、教学科研楼、综合实验楼、建树楼、</w:t>
            </w:r>
            <w:r>
              <w:rPr>
                <w:rFonts w:hint="eastAsia" w:ascii="仿宋" w:hAnsi="仿宋" w:eastAsia="仿宋" w:cs="仿宋"/>
                <w:color w:val="auto"/>
                <w:position w:val="-1"/>
                <w:sz w:val="24"/>
                <w:szCs w:val="24"/>
                <w:lang w:val="en-US" w:eastAsia="zh-CN"/>
              </w:rPr>
              <w:t>法学部</w:t>
            </w:r>
            <w:r>
              <w:rPr>
                <w:rFonts w:hint="eastAsia" w:ascii="仿宋" w:hAnsi="仿宋" w:eastAsia="仿宋" w:cs="仿宋"/>
                <w:color w:val="auto"/>
                <w:position w:val="-1"/>
                <w:sz w:val="24"/>
                <w:szCs w:val="24"/>
              </w:rPr>
              <w:t>楼</w:t>
            </w:r>
            <w:r>
              <w:rPr>
                <w:rFonts w:hint="eastAsia" w:ascii="仿宋" w:hAnsi="仿宋" w:eastAsia="仿宋" w:cs="仿宋"/>
                <w:color w:val="auto"/>
                <w:position w:val="-1"/>
                <w:sz w:val="24"/>
                <w:szCs w:val="24"/>
                <w:lang w:val="en-US" w:eastAsia="zh-CN"/>
              </w:rPr>
              <w:t>、琴房</w:t>
            </w:r>
            <w:r>
              <w:rPr>
                <w:rFonts w:hint="eastAsia" w:ascii="仿宋" w:hAnsi="仿宋" w:eastAsia="仿宋" w:cs="仿宋"/>
                <w:color w:val="auto"/>
                <w:position w:val="-1"/>
                <w:sz w:val="24"/>
                <w:szCs w:val="24"/>
              </w:rPr>
              <w:t>等有教学场所的楼宇</w:t>
            </w:r>
          </w:p>
        </w:tc>
        <w:tc>
          <w:tcPr>
            <w:tcW w:w="2088" w:type="dxa"/>
            <w:noWrap w:val="0"/>
            <w:vAlign w:val="top"/>
          </w:tcPr>
          <w:p w14:paraId="2D690CF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大厅：地面、墙面、踢脚线、台阶、天棚、装饰门、窗户、玻璃、窗台、装饰门及门套、宣传窗、垃圾桶、消防设施灯具、装饰柱、</w:t>
            </w:r>
            <w:r>
              <w:rPr>
                <w:rFonts w:hint="eastAsia" w:ascii="仿宋" w:hAnsi="仿宋" w:eastAsia="仿宋" w:cs="仿宋"/>
                <w:color w:val="auto"/>
                <w:position w:val="-1"/>
                <w:sz w:val="24"/>
                <w:szCs w:val="24"/>
                <w:lang w:eastAsia="zh-CN"/>
              </w:rPr>
              <w:t>公共区域（桌椅、读书仓、书架、储物柜、收纳箱等附属物）、</w:t>
            </w:r>
            <w:r>
              <w:rPr>
                <w:rFonts w:hint="eastAsia" w:ascii="仿宋" w:hAnsi="仿宋" w:eastAsia="仿宋" w:cs="仿宋"/>
                <w:color w:val="auto"/>
                <w:position w:val="-1"/>
                <w:sz w:val="24"/>
                <w:szCs w:val="24"/>
              </w:rPr>
              <w:t>植物花盆、</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等。</w:t>
            </w:r>
          </w:p>
        </w:tc>
        <w:tc>
          <w:tcPr>
            <w:tcW w:w="2985" w:type="dxa"/>
            <w:noWrap w:val="0"/>
            <w:vAlign w:val="top"/>
          </w:tcPr>
          <w:p w14:paraId="0ADE288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每天保洁1次，且巡回保洁；装饰门及门套、踢脚线等3天保洁1次；墙面、天棚、消防设施、灯具每二周保洁1次；大理石（花岗岩）每</w:t>
            </w:r>
            <w:r>
              <w:rPr>
                <w:rFonts w:hint="eastAsia" w:ascii="仿宋" w:hAnsi="仿宋" w:eastAsia="仿宋" w:cs="仿宋"/>
                <w:color w:val="auto"/>
                <w:position w:val="-1"/>
                <w:sz w:val="24"/>
                <w:szCs w:val="24"/>
                <w:lang w:eastAsia="zh-CN"/>
              </w:rPr>
              <w:t>三</w:t>
            </w:r>
            <w:r>
              <w:rPr>
                <w:rFonts w:hint="eastAsia" w:ascii="仿宋" w:hAnsi="仿宋" w:eastAsia="仿宋" w:cs="仿宋"/>
                <w:color w:val="auto"/>
                <w:position w:val="-1"/>
                <w:sz w:val="24"/>
                <w:szCs w:val="24"/>
              </w:rPr>
              <w:t>个月打蜡1次，每周抛光1次；地砖或水磨石地面每月彻底刷洗1次。</w:t>
            </w:r>
          </w:p>
        </w:tc>
        <w:tc>
          <w:tcPr>
            <w:tcW w:w="2846" w:type="dxa"/>
            <w:noWrap w:val="0"/>
            <w:vAlign w:val="top"/>
          </w:tcPr>
          <w:p w14:paraId="6FDE8E6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干净，墙面无灰尘、无污渍，光亮，墙角无蜘蛛网，公共设施表面无积尘、无污渍、光亮；不锈钢表面无手印，无积尘，无污渍、光亮；玻璃上无手印，无积尘，无污渍、明亮；植物花盆无积尘，无污渍。</w:t>
            </w:r>
          </w:p>
        </w:tc>
      </w:tr>
      <w:tr w14:paraId="2CB8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CD66CB4">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0F2D5AA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楼道：地面、楼道梯级、扶手、墙面、踢脚线、配电箱、消防设备、楼道门、窗、灯具及开关、垃圾桶楼梯、扶手、墙面、等消毒记录表。</w:t>
            </w:r>
          </w:p>
        </w:tc>
        <w:tc>
          <w:tcPr>
            <w:tcW w:w="2985" w:type="dxa"/>
            <w:noWrap w:val="0"/>
            <w:vAlign w:val="top"/>
          </w:tcPr>
          <w:p w14:paraId="54108B0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每天保洁1次且巡回保洁踢脚线、配电箱、消防设备、楼道门、窗、消毒记录板表面、灯具及开关每二周保洁1次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大理石（花岗岩）每</w:t>
            </w:r>
            <w:r>
              <w:rPr>
                <w:rFonts w:hint="eastAsia" w:ascii="仿宋" w:hAnsi="仿宋" w:eastAsia="仿宋" w:cs="仿宋"/>
                <w:color w:val="auto"/>
                <w:position w:val="-1"/>
                <w:sz w:val="24"/>
                <w:szCs w:val="24"/>
                <w:lang w:eastAsia="zh-CN"/>
              </w:rPr>
              <w:t>三</w:t>
            </w:r>
            <w:r>
              <w:rPr>
                <w:rFonts w:hint="eastAsia" w:ascii="仿宋" w:hAnsi="仿宋" w:eastAsia="仿宋" w:cs="仿宋"/>
                <w:color w:val="auto"/>
                <w:position w:val="-1"/>
                <w:sz w:val="24"/>
                <w:szCs w:val="24"/>
              </w:rPr>
              <w:t>个月打蜡1次，每周抛光1次；地砖或水磨石地面每月彻底刷洗1次。</w:t>
            </w:r>
          </w:p>
        </w:tc>
        <w:tc>
          <w:tcPr>
            <w:tcW w:w="2846" w:type="dxa"/>
            <w:noWrap w:val="0"/>
            <w:vAlign w:val="top"/>
          </w:tcPr>
          <w:p w14:paraId="3C4F5BF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及消毒记录板表面无手印，无积尘，无污渍、光亮；玻璃上无手印，无积尘，无污渍、明亮；窗台无积尘。</w:t>
            </w:r>
          </w:p>
        </w:tc>
      </w:tr>
      <w:tr w14:paraId="5555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77B54F8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5AF3DD9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公共卫生间、开水房：地面、地漏、墙面、天棚、大小便器、垃圾篓、台面、镜子、门窗、灯具、排气扇、上下水管道、水龙头、</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等。</w:t>
            </w:r>
          </w:p>
        </w:tc>
        <w:tc>
          <w:tcPr>
            <w:tcW w:w="2985" w:type="dxa"/>
            <w:noWrap w:val="0"/>
            <w:vAlign w:val="top"/>
          </w:tcPr>
          <w:p w14:paraId="3439DF0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每天两次对卫生间全面保洁，且巡回每两小时保洁；水房及卫生间地漏每周清理1次；天棚、灯具、窗玻璃排气扇每两周保洁1次；开水房每天保洁1次</w:t>
            </w:r>
            <w:r>
              <w:rPr>
                <w:rFonts w:hint="eastAsia" w:ascii="仿宋" w:hAnsi="仿宋" w:eastAsia="仿宋" w:cs="仿宋"/>
                <w:color w:val="auto"/>
                <w:position w:val="-1"/>
                <w:sz w:val="24"/>
                <w:szCs w:val="24"/>
                <w:lang w:eastAsia="zh-CN"/>
              </w:rPr>
              <w:t>且巡回保洁</w:t>
            </w:r>
            <w:r>
              <w:rPr>
                <w:rFonts w:hint="eastAsia" w:ascii="仿宋" w:hAnsi="仿宋" w:eastAsia="仿宋" w:cs="仿宋"/>
                <w:color w:val="auto"/>
                <w:position w:val="-1"/>
                <w:sz w:val="24"/>
                <w:szCs w:val="24"/>
              </w:rPr>
              <w:t>，</w:t>
            </w:r>
            <w:r>
              <w:rPr>
                <w:rFonts w:hint="eastAsia" w:ascii="仿宋" w:hAnsi="仿宋" w:eastAsia="仿宋" w:cs="仿宋"/>
                <w:color w:val="auto"/>
                <w:position w:val="-1"/>
                <w:sz w:val="24"/>
                <w:szCs w:val="24"/>
                <w:lang w:eastAsia="zh-CN"/>
              </w:rPr>
              <w:t>饮水机每天保洁</w:t>
            </w:r>
            <w:r>
              <w:rPr>
                <w:rFonts w:hint="eastAsia" w:ascii="仿宋" w:hAnsi="仿宋" w:eastAsia="仿宋" w:cs="仿宋"/>
                <w:color w:val="auto"/>
                <w:position w:val="-1"/>
                <w:sz w:val="24"/>
                <w:szCs w:val="24"/>
              </w:rPr>
              <w:t>1次。</w:t>
            </w:r>
          </w:p>
        </w:tc>
        <w:tc>
          <w:tcPr>
            <w:tcW w:w="2846" w:type="dxa"/>
            <w:noWrap w:val="0"/>
            <w:vAlign w:val="top"/>
          </w:tcPr>
          <w:p w14:paraId="6535B40A">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卫生间无异味，无积水、有熏香樟脑丸等洁厕物品、厕坑便具洁净无污物、无黄渍、镜面、水盆、水龙头、台面无污点，光亮；纸篓加装垃圾袋并随时清理；墙面、天棚、墙角、灯具无积尘、无蜘蛛网；开水房地面无水渍、无污渍，无垃圾，保洁工具与保洁用品要统一放在指定地点</w:t>
            </w:r>
            <w:r>
              <w:rPr>
                <w:rFonts w:hint="eastAsia" w:ascii="仿宋" w:hAnsi="仿宋" w:eastAsia="仿宋" w:cs="仿宋"/>
                <w:color w:val="auto"/>
                <w:position w:val="-1"/>
                <w:sz w:val="24"/>
                <w:szCs w:val="24"/>
                <w:lang w:eastAsia="zh-CN"/>
              </w:rPr>
              <w:t>；饮水机无茶渍、无垃圾。</w:t>
            </w:r>
          </w:p>
        </w:tc>
      </w:tr>
      <w:tr w14:paraId="1B60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6919802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194FF8D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教室及教师休息室：桌椅、讲台，黑板、地面、踏步、窗台、窗玻璃、门楣、门套、墙面、墙角、天棚、灯具、设备、沙发、报告厅座套、窗帘、饮水机等。</w:t>
            </w:r>
          </w:p>
        </w:tc>
        <w:tc>
          <w:tcPr>
            <w:tcW w:w="2985" w:type="dxa"/>
            <w:noWrap w:val="0"/>
            <w:vAlign w:val="top"/>
          </w:tcPr>
          <w:p w14:paraId="6AAD475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每日早、中、晚共3次并巡回保洁；天棚、灯具、设备每周1次；门窗玻璃每两周1次。教室窗帘、教师休息室窗帘每年暑期清洗一次，有严重污损时随时清洗。</w:t>
            </w:r>
            <w:r>
              <w:rPr>
                <w:rFonts w:hint="eastAsia" w:ascii="仿宋" w:hAnsi="仿宋" w:eastAsia="仿宋" w:cs="仿宋"/>
                <w:color w:val="auto"/>
                <w:position w:val="-1"/>
                <w:sz w:val="24"/>
                <w:szCs w:val="24"/>
                <w:lang w:eastAsia="zh-CN"/>
              </w:rPr>
              <w:t>饮水机每天保洁</w:t>
            </w:r>
            <w:r>
              <w:rPr>
                <w:rFonts w:hint="eastAsia" w:ascii="仿宋" w:hAnsi="仿宋" w:eastAsia="仿宋" w:cs="仿宋"/>
                <w:color w:val="auto"/>
                <w:position w:val="-1"/>
                <w:sz w:val="24"/>
                <w:szCs w:val="24"/>
              </w:rPr>
              <w:t>1次。</w:t>
            </w:r>
          </w:p>
        </w:tc>
        <w:tc>
          <w:tcPr>
            <w:tcW w:w="2846" w:type="dxa"/>
            <w:noWrap w:val="0"/>
            <w:vAlign w:val="top"/>
          </w:tcPr>
          <w:p w14:paraId="0EE9389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桌椅、讲台，窗台、黑板、地面、踏步、门楣、门套、墙面、墙角无积尘，光亮；桌斗内无杂物；黑板板面擦净，板槽内无粉末，黑板周围整洁；窗台无积尘，窗帘挂放整齐；室内无异味；玻璃无水渍、无污渍，无积尘，光亮；捡拾物品及时上交楼管员做失物招领，不私自处理。教师休息室干净整洁，无杂物、无异味</w:t>
            </w:r>
            <w:r>
              <w:rPr>
                <w:rFonts w:hint="eastAsia" w:ascii="仿宋" w:hAnsi="仿宋" w:eastAsia="仿宋" w:cs="仿宋"/>
                <w:color w:val="auto"/>
                <w:position w:val="-1"/>
                <w:sz w:val="24"/>
                <w:szCs w:val="24"/>
                <w:lang w:eastAsia="zh-CN"/>
              </w:rPr>
              <w:t>；饮水机无茶渍、无垃圾。</w:t>
            </w:r>
          </w:p>
        </w:tc>
      </w:tr>
      <w:tr w14:paraId="6EC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083D8D2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75968AF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5</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电梯及各楼宇屋面：电梯轿厢、电梯厅、电梯门及门套、指示板、厢壁等。</w:t>
            </w:r>
          </w:p>
        </w:tc>
        <w:tc>
          <w:tcPr>
            <w:tcW w:w="2985" w:type="dxa"/>
            <w:noWrap w:val="0"/>
            <w:vAlign w:val="top"/>
          </w:tcPr>
          <w:p w14:paraId="397883D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每天保洁1次，且每两小时巡回保洁；电梯轿厢内无积尘、无污渍、无粘贴物；灯具、指示板明亮套、指示板、厢壁、通风口、天花板、灯具、监控器探头每周1次。各楼宇屋面定期巡查：电梯轿厢保养，每月1次。</w:t>
            </w:r>
          </w:p>
        </w:tc>
        <w:tc>
          <w:tcPr>
            <w:tcW w:w="2846" w:type="dxa"/>
            <w:noWrap w:val="0"/>
            <w:vAlign w:val="top"/>
          </w:tcPr>
          <w:p w14:paraId="52AEAED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轿厢内地面干净、无垃圾杂物；不锈钢表面无手印、无积尘，无污渍、光亮；电梯门槽内无垃圾杂物。各楼宇屋面定期巡查，整洁有序、无杂物。</w:t>
            </w:r>
          </w:p>
        </w:tc>
      </w:tr>
      <w:tr w14:paraId="3F5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5606BBB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09D0E8E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4BF6438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582845F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ED04B7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D70EC3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7E3041C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7BE52D0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FBF5F7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p w14:paraId="6328B25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校医院、教职工活动中心、第一商业街、第二商业街</w:t>
            </w:r>
          </w:p>
        </w:tc>
        <w:tc>
          <w:tcPr>
            <w:tcW w:w="2088" w:type="dxa"/>
            <w:noWrap w:val="0"/>
            <w:vAlign w:val="top"/>
          </w:tcPr>
          <w:p w14:paraId="493D87A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大厅：地面、墙面、踢脚线、台阶、天棚、装饰门及门套、宣传窗、垃圾桶、消防设施灯具装饰柱、植物花盆。</w:t>
            </w:r>
          </w:p>
        </w:tc>
        <w:tc>
          <w:tcPr>
            <w:tcW w:w="2985" w:type="dxa"/>
            <w:noWrap w:val="0"/>
            <w:vAlign w:val="top"/>
          </w:tcPr>
          <w:p w14:paraId="454760F4">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台阶、宣传窗、垃圾桶、装饰柱、植物花盆等每天保洁1次，且巡回保洁；装饰门及门套、踢脚线等5天保洁1次；墙面、天棚、消防设施、灯具每二周保洁1次；大理石（花岗岩）每三个月打蜡1次，每两周抛光1次；地砖或水磨石地面每月彻底刷洗1次。</w:t>
            </w:r>
          </w:p>
        </w:tc>
        <w:tc>
          <w:tcPr>
            <w:tcW w:w="2846" w:type="dxa"/>
            <w:noWrap w:val="0"/>
            <w:vAlign w:val="top"/>
          </w:tcPr>
          <w:p w14:paraId="753ECBF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14:paraId="3DAB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606BB78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0B558A5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楼道：地面、楼道梯级、扶手、墙面、踢脚线、配电箱、消防设备、楼道门、窗、灯具及开关、垃圾桶等。</w:t>
            </w:r>
          </w:p>
        </w:tc>
        <w:tc>
          <w:tcPr>
            <w:tcW w:w="2985" w:type="dxa"/>
            <w:noWrap w:val="0"/>
            <w:vAlign w:val="top"/>
          </w:tcPr>
          <w:p w14:paraId="5685D83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每天保洁1次且巡回保洁；踢脚线、配电箱、消防设备、楼道门、窗、灯具（灯罩每年清洗2次）及开关每二周保洁1次；大理石（花岗岩）每三个月打蜡1次，每两周抛光1次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水磨石地面每月彻底刷洗</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w:t>
            </w:r>
          </w:p>
        </w:tc>
        <w:tc>
          <w:tcPr>
            <w:tcW w:w="2846" w:type="dxa"/>
            <w:noWrap w:val="0"/>
            <w:vAlign w:val="top"/>
          </w:tcPr>
          <w:p w14:paraId="53A6773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窗台无积尘。</w:t>
            </w:r>
          </w:p>
        </w:tc>
      </w:tr>
      <w:tr w14:paraId="1AF3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5AB3E5D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13B03B1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公共卫生间、开水房：地面、墙面、天棚、大小便器、地漏、垃圾篓、洗手盆、台面、镜子、门窗标牌、玻璃、灯具、排气扇、上下水管道、水龙头、</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w:t>
            </w:r>
          </w:p>
        </w:tc>
        <w:tc>
          <w:tcPr>
            <w:tcW w:w="2985" w:type="dxa"/>
            <w:noWrap w:val="0"/>
            <w:vAlign w:val="top"/>
          </w:tcPr>
          <w:p w14:paraId="61116FA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每天两次对卫生间全面保洁，且巡回保洁2次；开水房及卫生间地漏每周清理1次；天棚、灯具、门窗玻璃排气扇每两周保洁1次；开水房每天保洁1次</w:t>
            </w:r>
            <w:r>
              <w:rPr>
                <w:rFonts w:hint="eastAsia" w:ascii="仿宋" w:hAnsi="仿宋" w:eastAsia="仿宋" w:cs="仿宋"/>
                <w:color w:val="auto"/>
                <w:position w:val="-1"/>
                <w:sz w:val="24"/>
                <w:szCs w:val="24"/>
                <w:lang w:eastAsia="zh-CN"/>
              </w:rPr>
              <w:t>且巡回保洁</w:t>
            </w:r>
            <w:r>
              <w:rPr>
                <w:rFonts w:hint="eastAsia" w:ascii="仿宋" w:hAnsi="仿宋" w:eastAsia="仿宋" w:cs="仿宋"/>
                <w:color w:val="auto"/>
                <w:position w:val="-1"/>
                <w:sz w:val="24"/>
                <w:szCs w:val="24"/>
              </w:rPr>
              <w:t>，</w:t>
            </w:r>
            <w:r>
              <w:rPr>
                <w:rFonts w:hint="eastAsia" w:ascii="仿宋" w:hAnsi="仿宋" w:eastAsia="仿宋" w:cs="仿宋"/>
                <w:color w:val="auto"/>
                <w:position w:val="-1"/>
                <w:sz w:val="24"/>
                <w:szCs w:val="24"/>
                <w:lang w:eastAsia="zh-CN"/>
              </w:rPr>
              <w:t>饮水机每天保洁</w:t>
            </w:r>
            <w:r>
              <w:rPr>
                <w:rFonts w:hint="eastAsia" w:ascii="仿宋" w:hAnsi="仿宋" w:eastAsia="仿宋" w:cs="仿宋"/>
                <w:color w:val="auto"/>
                <w:position w:val="-1"/>
                <w:sz w:val="24"/>
                <w:szCs w:val="24"/>
              </w:rPr>
              <w:t>1次。</w:t>
            </w:r>
          </w:p>
        </w:tc>
        <w:tc>
          <w:tcPr>
            <w:tcW w:w="2846" w:type="dxa"/>
            <w:noWrap w:val="0"/>
            <w:vAlign w:val="top"/>
          </w:tcPr>
          <w:p w14:paraId="29898D2A">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卫生间无异味、无积水，有熏香樟脑丸等洁厕物品、厕坑便具洁净无污物、无黄渍、镜面、水盆、台面、水龙头无污点，光亮；纸篓加装垃圾袋并随时清理；玻璃无水渍、无污渍，无积尘，光亮；墙面、天棚、墙角、灯具无积尘、蜘蛛网，光亮；开水房地面无水渍、无污渍，无垃圾，保洁工具与保洁用品要统一放在指定地点</w:t>
            </w:r>
            <w:r>
              <w:rPr>
                <w:rFonts w:hint="eastAsia" w:ascii="仿宋" w:hAnsi="仿宋" w:eastAsia="仿宋" w:cs="仿宋"/>
                <w:color w:val="auto"/>
                <w:position w:val="-1"/>
                <w:sz w:val="24"/>
                <w:szCs w:val="24"/>
                <w:lang w:eastAsia="zh-CN"/>
              </w:rPr>
              <w:t>；饮水机无茶渍、无垃圾。</w:t>
            </w:r>
          </w:p>
        </w:tc>
      </w:tr>
      <w:tr w14:paraId="3479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70880FE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8954A2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电梯及各楼宇屋面：电梯轿厢、电梯厅、电梯门及门套、指示板、厢壁、通风口、天花板、灯具、监控器探头。</w:t>
            </w:r>
          </w:p>
        </w:tc>
        <w:tc>
          <w:tcPr>
            <w:tcW w:w="2985" w:type="dxa"/>
            <w:noWrap w:val="0"/>
            <w:vAlign w:val="top"/>
          </w:tcPr>
          <w:p w14:paraId="3385E27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电梯轿厢、电梯厅、电梯门及门套、指示板、厢壁、每天保洁1次，且巡回保洁天花板、灯具、监控器探头每周1次；各楼宇屋面定期巡查。电梯轿厢保养，每月2次。</w:t>
            </w:r>
          </w:p>
        </w:tc>
        <w:tc>
          <w:tcPr>
            <w:tcW w:w="2846" w:type="dxa"/>
            <w:noWrap w:val="0"/>
            <w:vAlign w:val="top"/>
          </w:tcPr>
          <w:p w14:paraId="14186AE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电梯轿厢内无积尘、无污渍、无粘贴物；灯具、指示板明亮；厢内地面干净、无垃圾杂物；不锈钢表面无手印、无积尘，无污渍、光亮；电梯门槽内无垃圾杂物；各楼宇屋面定期巡查，整洁有序、无杂物。</w:t>
            </w:r>
          </w:p>
        </w:tc>
      </w:tr>
      <w:tr w14:paraId="4E98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52ADE1A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5926B22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5</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负责第1商业街三楼招待所室内保洁，包括家具、用品、床单、被罩、窗帘等。室内地面、墙面、踢脚线、窗台面、玻璃等室内范围，第一商业街3层、5层平台地面</w:t>
            </w:r>
            <w:r>
              <w:rPr>
                <w:rFonts w:hint="eastAsia" w:ascii="仿宋" w:hAnsi="仿宋" w:eastAsia="仿宋" w:cs="仿宋"/>
                <w:color w:val="auto"/>
                <w:position w:val="-1"/>
                <w:sz w:val="24"/>
                <w:szCs w:val="24"/>
                <w:lang w:eastAsia="zh-CN"/>
              </w:rPr>
              <w:t>；负责第</w:t>
            </w:r>
            <w:r>
              <w:rPr>
                <w:rFonts w:hint="eastAsia" w:ascii="仿宋" w:hAnsi="仿宋" w:eastAsia="仿宋" w:cs="仿宋"/>
                <w:color w:val="auto"/>
                <w:position w:val="-1"/>
                <w:sz w:val="24"/>
                <w:szCs w:val="24"/>
                <w:lang w:val="en-US" w:eastAsia="zh-CN"/>
              </w:rPr>
              <w:t>1、2商业街周边地面卫生。</w:t>
            </w:r>
          </w:p>
        </w:tc>
        <w:tc>
          <w:tcPr>
            <w:tcW w:w="2985" w:type="dxa"/>
            <w:noWrap w:val="0"/>
            <w:vAlign w:val="top"/>
          </w:tcPr>
          <w:p w14:paraId="10E14A2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每天各室内房间全方位保洁1次，涉及有人员住宿床单、被罩、枕套等用品清洗1次，无人住宿时每周清洗床上用品1次；每日查看消防器材完好程度及使用期限。每天清理平台地面垃圾废品</w:t>
            </w:r>
            <w:r>
              <w:rPr>
                <w:rFonts w:hint="eastAsia" w:ascii="仿宋" w:hAnsi="仿宋" w:eastAsia="仿宋" w:cs="仿宋"/>
                <w:color w:val="auto"/>
                <w:position w:val="-1"/>
                <w:sz w:val="24"/>
                <w:szCs w:val="24"/>
                <w:lang w:eastAsia="zh-CN"/>
              </w:rPr>
              <w:t>；每天</w:t>
            </w:r>
            <w:r>
              <w:rPr>
                <w:rFonts w:hint="eastAsia" w:ascii="仿宋" w:hAnsi="仿宋" w:eastAsia="仿宋" w:cs="仿宋"/>
                <w:color w:val="auto"/>
                <w:position w:val="-1"/>
                <w:sz w:val="24"/>
                <w:szCs w:val="24"/>
                <w:lang w:val="en-US" w:eastAsia="zh-CN"/>
              </w:rPr>
              <w:t>2次</w:t>
            </w:r>
            <w:r>
              <w:rPr>
                <w:rFonts w:hint="eastAsia" w:ascii="仿宋" w:hAnsi="仿宋" w:eastAsia="仿宋" w:cs="仿宋"/>
                <w:color w:val="auto"/>
                <w:position w:val="-1"/>
                <w:sz w:val="24"/>
                <w:szCs w:val="24"/>
                <w:lang w:eastAsia="zh-CN"/>
              </w:rPr>
              <w:t>清扫第</w:t>
            </w:r>
            <w:r>
              <w:rPr>
                <w:rFonts w:hint="eastAsia" w:ascii="仿宋" w:hAnsi="仿宋" w:eastAsia="仿宋" w:cs="仿宋"/>
                <w:color w:val="auto"/>
                <w:position w:val="-1"/>
                <w:sz w:val="24"/>
                <w:szCs w:val="24"/>
                <w:lang w:val="en-US" w:eastAsia="zh-CN"/>
              </w:rPr>
              <w:t>1、2商业街周边地面卫生，</w:t>
            </w:r>
            <w:r>
              <w:rPr>
                <w:rFonts w:hint="eastAsia" w:ascii="仿宋" w:hAnsi="仿宋" w:eastAsia="仿宋" w:cs="仿宋"/>
                <w:color w:val="auto"/>
                <w:position w:val="-1"/>
                <w:sz w:val="24"/>
                <w:szCs w:val="24"/>
              </w:rPr>
              <w:t>且巡回保洁</w:t>
            </w:r>
            <w:r>
              <w:rPr>
                <w:rFonts w:hint="eastAsia" w:ascii="仿宋" w:hAnsi="仿宋" w:eastAsia="仿宋" w:cs="仿宋"/>
                <w:color w:val="auto"/>
                <w:position w:val="-1"/>
                <w:sz w:val="24"/>
                <w:szCs w:val="24"/>
                <w:lang w:eastAsia="zh-CN"/>
              </w:rPr>
              <w:t>。</w:t>
            </w:r>
          </w:p>
        </w:tc>
        <w:tc>
          <w:tcPr>
            <w:tcW w:w="2846" w:type="dxa"/>
            <w:noWrap w:val="0"/>
            <w:vAlign w:val="top"/>
          </w:tcPr>
          <w:p w14:paraId="01BD489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地面无水渍、无污渍、无垃圾、无积尘，清新光亮；墙面无灰尘、无污渍，光亮；墙角无蜘蛛网；设施设备表面无积尘、无污渍；所有室内家具用品表面及内部无污渍、无积尘；床上用品干净整洁，无积尘、污渍、破损；玻璃上无手印、无积尘、无污渍、明亮；窗台等无卫生死角；消防器材干净整齐，无过期等异常情况。平台无垃圾、无杂物，干净整洁</w:t>
            </w:r>
            <w:r>
              <w:rPr>
                <w:rFonts w:hint="eastAsia" w:ascii="仿宋" w:hAnsi="仿宋" w:eastAsia="仿宋" w:cs="仿宋"/>
                <w:color w:val="auto"/>
                <w:position w:val="-1"/>
                <w:sz w:val="24"/>
                <w:szCs w:val="24"/>
                <w:lang w:eastAsia="zh-CN"/>
              </w:rPr>
              <w:t>；第</w:t>
            </w:r>
            <w:r>
              <w:rPr>
                <w:rFonts w:hint="eastAsia" w:ascii="仿宋" w:hAnsi="仿宋" w:eastAsia="仿宋" w:cs="仿宋"/>
                <w:color w:val="auto"/>
                <w:position w:val="-1"/>
                <w:sz w:val="24"/>
                <w:szCs w:val="24"/>
                <w:lang w:val="en-US" w:eastAsia="zh-CN"/>
              </w:rPr>
              <w:t>1、2商业街周边地面卫生，</w:t>
            </w:r>
            <w:r>
              <w:rPr>
                <w:rFonts w:hint="eastAsia" w:ascii="仿宋" w:hAnsi="仿宋" w:eastAsia="仿宋" w:cs="仿宋"/>
                <w:color w:val="auto"/>
                <w:position w:val="-1"/>
                <w:sz w:val="24"/>
                <w:szCs w:val="24"/>
              </w:rPr>
              <w:t>无垃圾、无杂物，干净整洁</w:t>
            </w:r>
            <w:r>
              <w:rPr>
                <w:rFonts w:hint="eastAsia" w:ascii="仿宋" w:hAnsi="仿宋" w:eastAsia="仿宋" w:cs="仿宋"/>
                <w:color w:val="auto"/>
                <w:position w:val="-1"/>
                <w:sz w:val="24"/>
                <w:szCs w:val="24"/>
                <w:lang w:eastAsia="zh-CN"/>
              </w:rPr>
              <w:t>。</w:t>
            </w:r>
          </w:p>
        </w:tc>
      </w:tr>
      <w:tr w14:paraId="5EFB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181F54B1">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88536E8">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行</w:t>
            </w:r>
          </w:p>
          <w:p w14:paraId="5A4E1B3A">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政</w:t>
            </w:r>
          </w:p>
          <w:p w14:paraId="10526A1B">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办</w:t>
            </w:r>
          </w:p>
          <w:p w14:paraId="27539091">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公</w:t>
            </w:r>
          </w:p>
          <w:p w14:paraId="3244A54E">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楼</w:t>
            </w:r>
          </w:p>
        </w:tc>
        <w:tc>
          <w:tcPr>
            <w:tcW w:w="2088" w:type="dxa"/>
            <w:noWrap w:val="0"/>
            <w:vAlign w:val="top"/>
          </w:tcPr>
          <w:p w14:paraId="50547BF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大厅：地面、墙面、踢脚线、台阶、楼梯、扶手、天棚、装饰门及门套、宣传窗、垃圾桶、消防设施灯具装饰柱、植物花盆等。</w:t>
            </w:r>
          </w:p>
        </w:tc>
        <w:tc>
          <w:tcPr>
            <w:tcW w:w="2985" w:type="dxa"/>
            <w:noWrap w:val="0"/>
            <w:vAlign w:val="top"/>
          </w:tcPr>
          <w:p w14:paraId="231C12A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墙面、台阶、楼梯、扶手、宣传窗、垃圾桶、装饰柱、植物花盆等每天保洁1次，且巡回保洁；装饰门及门套、踢脚线等3天保洁1次；墙面、天棚、消防设施、灯具每二周保洁1次；大理石（花岗岩）每三个月打蜡1次，每两周抛光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水磨石地面每月彻底刷洗</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w:t>
            </w:r>
          </w:p>
        </w:tc>
        <w:tc>
          <w:tcPr>
            <w:tcW w:w="2846" w:type="dxa"/>
            <w:noWrap w:val="0"/>
            <w:vAlign w:val="top"/>
          </w:tcPr>
          <w:p w14:paraId="3FCE255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14:paraId="6268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42715B3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CAC2BC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楼道：地面、楼道梯级、扶手、墙面、踢脚线、配电箱、消防设备、楼道门、窗、灯具及开关、垃圾桶等。</w:t>
            </w:r>
          </w:p>
        </w:tc>
        <w:tc>
          <w:tcPr>
            <w:tcW w:w="2985" w:type="dxa"/>
            <w:noWrap w:val="0"/>
            <w:vAlign w:val="top"/>
          </w:tcPr>
          <w:p w14:paraId="548CE654">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地面、楼梯、扶手、墙面、垃圾桶等每天保洁1次且巡回保洁踢脚线、配电箱、消防设备、楼道门、窗、灯具及开关每二周保洁1次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每</w:t>
            </w:r>
            <w:r>
              <w:rPr>
                <w:rFonts w:hint="eastAsia" w:ascii="仿宋" w:hAnsi="仿宋" w:eastAsia="仿宋" w:cs="仿宋"/>
                <w:color w:val="auto"/>
                <w:position w:val="-1"/>
                <w:sz w:val="24"/>
                <w:szCs w:val="24"/>
                <w:lang w:eastAsia="zh-CN"/>
              </w:rPr>
              <w:t>月</w:t>
            </w:r>
            <w:r>
              <w:rPr>
                <w:rFonts w:hint="eastAsia" w:ascii="仿宋" w:hAnsi="仿宋" w:eastAsia="仿宋" w:cs="仿宋"/>
                <w:color w:val="auto"/>
                <w:position w:val="-1"/>
                <w:sz w:val="24"/>
                <w:szCs w:val="24"/>
              </w:rPr>
              <w:t>保洁1次大理石（花岗岩）</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水磨石地面每月彻底刷洗</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地砖或水磨石地面每月彻底刷洗1次。</w:t>
            </w:r>
          </w:p>
        </w:tc>
        <w:tc>
          <w:tcPr>
            <w:tcW w:w="2846" w:type="dxa"/>
            <w:noWrap w:val="0"/>
            <w:vAlign w:val="top"/>
          </w:tcPr>
          <w:p w14:paraId="0BEEB17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窗台无积尘。</w:t>
            </w:r>
          </w:p>
        </w:tc>
      </w:tr>
      <w:tr w14:paraId="0FC2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0566B57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4D100A6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公共卫生间：地面、</w:t>
            </w:r>
            <w:r>
              <w:rPr>
                <w:rFonts w:hint="eastAsia" w:ascii="仿宋" w:hAnsi="仿宋" w:eastAsia="仿宋" w:cs="仿宋"/>
                <w:color w:val="auto"/>
                <w:position w:val="-1"/>
                <w:sz w:val="24"/>
                <w:szCs w:val="24"/>
                <w:lang w:eastAsia="zh-CN"/>
              </w:rPr>
              <w:t>遮挡帘、</w:t>
            </w:r>
            <w:r>
              <w:rPr>
                <w:rFonts w:hint="eastAsia" w:ascii="仿宋" w:hAnsi="仿宋" w:eastAsia="仿宋" w:cs="仿宋"/>
                <w:color w:val="auto"/>
                <w:position w:val="-1"/>
                <w:sz w:val="24"/>
                <w:szCs w:val="24"/>
              </w:rPr>
              <w:t>地漏墙面、天棚、踢脚线、大小便器、垃圾篓、洗手盆、台面、镜子、门窗标牌、灯具、排气扇、上下水管道、水龙头</w:t>
            </w:r>
            <w:r>
              <w:rPr>
                <w:rFonts w:hint="eastAsia" w:ascii="仿宋" w:hAnsi="仿宋" w:eastAsia="仿宋" w:cs="仿宋"/>
                <w:color w:val="auto"/>
                <w:position w:val="-1"/>
                <w:sz w:val="24"/>
                <w:szCs w:val="24"/>
                <w:lang w:eastAsia="zh-CN"/>
              </w:rPr>
              <w:t>、遮挡帘</w:t>
            </w:r>
            <w:r>
              <w:rPr>
                <w:rFonts w:hint="eastAsia" w:ascii="仿宋" w:hAnsi="仿宋" w:eastAsia="仿宋" w:cs="仿宋"/>
                <w:color w:val="auto"/>
                <w:position w:val="-1"/>
                <w:sz w:val="24"/>
                <w:szCs w:val="24"/>
              </w:rPr>
              <w:t>等。</w:t>
            </w:r>
          </w:p>
        </w:tc>
        <w:tc>
          <w:tcPr>
            <w:tcW w:w="2985" w:type="dxa"/>
            <w:noWrap w:val="0"/>
            <w:vAlign w:val="top"/>
          </w:tcPr>
          <w:p w14:paraId="7B770E9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每天两次对卫生间全面保洁，且巡回每两小时保洁；开水房及卫生间地漏每周清理1次；天棚、灯具、窗玻璃排气扇每两周保洁1次</w:t>
            </w:r>
            <w:r>
              <w:rPr>
                <w:rFonts w:hint="eastAsia" w:ascii="仿宋" w:hAnsi="仿宋" w:eastAsia="仿宋" w:cs="仿宋"/>
                <w:color w:val="auto"/>
                <w:position w:val="-1"/>
                <w:sz w:val="24"/>
                <w:szCs w:val="24"/>
                <w:lang w:eastAsia="zh-CN"/>
              </w:rPr>
              <w:t>；卫生间遮挡帘每周清洗</w:t>
            </w:r>
            <w:r>
              <w:rPr>
                <w:rFonts w:hint="eastAsia" w:ascii="仿宋" w:hAnsi="仿宋" w:eastAsia="仿宋" w:cs="仿宋"/>
                <w:color w:val="auto"/>
                <w:position w:val="-1"/>
                <w:sz w:val="24"/>
                <w:szCs w:val="24"/>
                <w:lang w:val="en-US" w:eastAsia="zh-CN"/>
              </w:rPr>
              <w:t>1次。</w:t>
            </w:r>
          </w:p>
        </w:tc>
        <w:tc>
          <w:tcPr>
            <w:tcW w:w="2846" w:type="dxa"/>
            <w:noWrap w:val="0"/>
            <w:vAlign w:val="top"/>
          </w:tcPr>
          <w:p w14:paraId="7D756D2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卫生间无异味，有熏香樟脑丸等洁厕物品、厕坑便具洁净无污物、无黄渍、镜面、水盆、台面、水龙头无污点，光亮；</w:t>
            </w:r>
            <w:r>
              <w:rPr>
                <w:rFonts w:hint="eastAsia" w:ascii="仿宋" w:hAnsi="仿宋" w:eastAsia="仿宋" w:cs="仿宋"/>
                <w:color w:val="auto"/>
                <w:position w:val="-1"/>
                <w:sz w:val="24"/>
                <w:szCs w:val="24"/>
                <w:lang w:eastAsia="zh-CN"/>
              </w:rPr>
              <w:t>遮挡帘无污渍、干净整洁；</w:t>
            </w:r>
            <w:r>
              <w:rPr>
                <w:rFonts w:hint="eastAsia" w:ascii="仿宋" w:hAnsi="仿宋" w:eastAsia="仿宋" w:cs="仿宋"/>
                <w:color w:val="auto"/>
                <w:position w:val="-1"/>
                <w:sz w:val="24"/>
                <w:szCs w:val="24"/>
              </w:rPr>
              <w:t>纸篓加装垃圾袋并随时清理；墙面、天棚、墙角、灯具无积尘、蜘蛛网，光亮；地面无水渍、无污渍，无垃圾，保洁工具与保洁用品要统一放在指定地点</w:t>
            </w:r>
            <w:r>
              <w:rPr>
                <w:rFonts w:hint="eastAsia" w:ascii="仿宋" w:hAnsi="仿宋" w:eastAsia="仿宋" w:cs="仿宋"/>
                <w:color w:val="auto"/>
                <w:position w:val="-1"/>
                <w:sz w:val="24"/>
                <w:szCs w:val="24"/>
                <w:lang w:eastAsia="zh-CN"/>
              </w:rPr>
              <w:t>。</w:t>
            </w:r>
          </w:p>
        </w:tc>
      </w:tr>
      <w:tr w14:paraId="7E92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4398F5B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5F7E1B5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会议室、接待室：桌椅、</w:t>
            </w:r>
            <w:r>
              <w:rPr>
                <w:rFonts w:hint="eastAsia" w:ascii="仿宋" w:hAnsi="仿宋" w:eastAsia="仿宋" w:cs="仿宋"/>
                <w:color w:val="auto"/>
                <w:position w:val="-1"/>
                <w:sz w:val="24"/>
                <w:szCs w:val="24"/>
                <w:lang w:eastAsia="zh-CN"/>
              </w:rPr>
              <w:t>地毯、</w:t>
            </w:r>
            <w:r>
              <w:rPr>
                <w:rFonts w:hint="eastAsia" w:ascii="仿宋" w:hAnsi="仿宋" w:eastAsia="仿宋" w:cs="仿宋"/>
                <w:color w:val="auto"/>
                <w:position w:val="-1"/>
                <w:sz w:val="24"/>
                <w:szCs w:val="24"/>
              </w:rPr>
              <w:t>地面、窗台、窗玻璃、门楣、门套、墙面、墙角、天棚、灯具、茶具设备等。</w:t>
            </w:r>
          </w:p>
        </w:tc>
        <w:tc>
          <w:tcPr>
            <w:tcW w:w="2985" w:type="dxa"/>
            <w:noWrap w:val="0"/>
            <w:vAlign w:val="top"/>
          </w:tcPr>
          <w:p w14:paraId="62D1341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会议桌椅、地面、窗台、门楣、门套、墙面、墙角三日1次；但会套、指示板、厢壁、通风口、天花板、灯具、监控器探头每周1次。</w:t>
            </w:r>
            <w:r>
              <w:rPr>
                <w:rFonts w:hint="eastAsia" w:ascii="仿宋" w:hAnsi="仿宋" w:eastAsia="仿宋" w:cs="仿宋"/>
                <w:color w:val="auto"/>
                <w:position w:val="-1"/>
                <w:sz w:val="24"/>
                <w:szCs w:val="24"/>
                <w:lang w:eastAsia="zh-CN"/>
              </w:rPr>
              <w:t>座椅套、沙发套及地毯每年清洗</w:t>
            </w:r>
            <w:r>
              <w:rPr>
                <w:rFonts w:hint="eastAsia" w:ascii="仿宋" w:hAnsi="仿宋" w:eastAsia="仿宋" w:cs="仿宋"/>
                <w:color w:val="auto"/>
                <w:position w:val="-1"/>
                <w:sz w:val="24"/>
                <w:szCs w:val="24"/>
                <w:lang w:val="en-US" w:eastAsia="zh-CN"/>
              </w:rPr>
              <w:t>1次。</w:t>
            </w:r>
          </w:p>
        </w:tc>
        <w:tc>
          <w:tcPr>
            <w:tcW w:w="2846" w:type="dxa"/>
            <w:noWrap w:val="0"/>
            <w:vAlign w:val="top"/>
          </w:tcPr>
          <w:p w14:paraId="7ABC2FF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地面干净、无垃圾杂物；桌椅摆放整齐、干净整洁，会议室内无积尘，无污渍、光亮；窗帘挂放整齐；室内无异味；窗玻璃无积尘、无污渍，明亮</w:t>
            </w:r>
            <w:r>
              <w:rPr>
                <w:rFonts w:hint="eastAsia" w:ascii="仿宋" w:hAnsi="仿宋" w:eastAsia="仿宋" w:cs="仿宋"/>
                <w:color w:val="auto"/>
                <w:position w:val="-1"/>
                <w:sz w:val="24"/>
                <w:szCs w:val="24"/>
                <w:lang w:eastAsia="zh-CN"/>
              </w:rPr>
              <w:t>；座椅套、沙发套及地毯无污渍、干净整洁</w:t>
            </w:r>
            <w:r>
              <w:rPr>
                <w:rFonts w:hint="eastAsia" w:ascii="仿宋" w:hAnsi="仿宋" w:eastAsia="仿宋" w:cs="仿宋"/>
                <w:color w:val="auto"/>
                <w:position w:val="-1"/>
                <w:sz w:val="24"/>
                <w:szCs w:val="24"/>
                <w:lang w:val="en-US" w:eastAsia="zh-CN"/>
              </w:rPr>
              <w:t>。</w:t>
            </w:r>
          </w:p>
        </w:tc>
      </w:tr>
      <w:tr w14:paraId="03A9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3EAE2BB3">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1178703">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76613F2C">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7E26F9CE">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图</w:t>
            </w:r>
          </w:p>
          <w:p w14:paraId="0E953B67">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6484EE00">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书</w:t>
            </w:r>
          </w:p>
          <w:p w14:paraId="310D678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7107B701">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馆</w:t>
            </w:r>
          </w:p>
        </w:tc>
        <w:tc>
          <w:tcPr>
            <w:tcW w:w="2088" w:type="dxa"/>
            <w:noWrap w:val="0"/>
            <w:vAlign w:val="top"/>
          </w:tcPr>
          <w:p w14:paraId="6F433A1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大厅：地面、墙面、踢脚线、台阶、天棚、装饰门及门套、宣传窗、垃圾桶、消防设施灯具装饰柱、植物花盆等。</w:t>
            </w:r>
          </w:p>
        </w:tc>
        <w:tc>
          <w:tcPr>
            <w:tcW w:w="2985" w:type="dxa"/>
            <w:noWrap w:val="0"/>
            <w:vAlign w:val="top"/>
          </w:tcPr>
          <w:p w14:paraId="61CCB0A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地面、台阶、宣传窗、垃圾桶、装饰柱、植物花盆等每天保洁1次，且巡回保洁；装饰门及门套、踢脚线等3天保洁1次；墙面、天棚、消防设施、灯具及开关每二周保洁1次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每</w:t>
            </w:r>
            <w:r>
              <w:rPr>
                <w:rFonts w:hint="eastAsia" w:ascii="仿宋" w:hAnsi="仿宋" w:eastAsia="仿宋" w:cs="仿宋"/>
                <w:color w:val="auto"/>
                <w:position w:val="-1"/>
                <w:sz w:val="24"/>
                <w:szCs w:val="24"/>
                <w:lang w:eastAsia="zh-CN"/>
              </w:rPr>
              <w:t>月</w:t>
            </w:r>
            <w:r>
              <w:rPr>
                <w:rFonts w:hint="eastAsia" w:ascii="仿宋" w:hAnsi="仿宋" w:eastAsia="仿宋" w:cs="仿宋"/>
                <w:color w:val="auto"/>
                <w:position w:val="-1"/>
                <w:sz w:val="24"/>
                <w:szCs w:val="24"/>
              </w:rPr>
              <w:t>保洁1次大理石</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水磨石地面每月彻底刷洗</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地砖或水磨石地面每月彻底刷洗1次。</w:t>
            </w:r>
          </w:p>
        </w:tc>
        <w:tc>
          <w:tcPr>
            <w:tcW w:w="2846" w:type="dxa"/>
            <w:noWrap w:val="0"/>
            <w:vAlign w:val="top"/>
          </w:tcPr>
          <w:p w14:paraId="6E92E85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14:paraId="10D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A63804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7627246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楼道：地面、楼道梯级、扶手、墙面、踢脚线、配电箱、消防设备、楼道门、窗、灯具及开关、垃圾桶等。</w:t>
            </w:r>
          </w:p>
        </w:tc>
        <w:tc>
          <w:tcPr>
            <w:tcW w:w="2985" w:type="dxa"/>
            <w:noWrap w:val="0"/>
            <w:vAlign w:val="top"/>
          </w:tcPr>
          <w:p w14:paraId="73A951B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地面、楼梯、扶手、墙面、垃圾桶等每天保洁1次且巡回保洁踢脚线、配电箱、消防设备、楼道门、窗、灯具及开关每二周保洁1次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每</w:t>
            </w:r>
            <w:r>
              <w:rPr>
                <w:rFonts w:hint="eastAsia" w:ascii="仿宋" w:hAnsi="仿宋" w:eastAsia="仿宋" w:cs="仿宋"/>
                <w:color w:val="auto"/>
                <w:position w:val="-1"/>
                <w:sz w:val="24"/>
                <w:szCs w:val="24"/>
                <w:lang w:eastAsia="zh-CN"/>
              </w:rPr>
              <w:t>月</w:t>
            </w:r>
            <w:r>
              <w:rPr>
                <w:rFonts w:hint="eastAsia" w:ascii="仿宋" w:hAnsi="仿宋" w:eastAsia="仿宋" w:cs="仿宋"/>
                <w:color w:val="auto"/>
                <w:position w:val="-1"/>
                <w:sz w:val="24"/>
                <w:szCs w:val="24"/>
              </w:rPr>
              <w:t>保洁1次大理石</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水磨石地面每月彻底刷洗</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w:t>
            </w:r>
          </w:p>
        </w:tc>
        <w:tc>
          <w:tcPr>
            <w:tcW w:w="2846" w:type="dxa"/>
            <w:noWrap w:val="0"/>
            <w:vAlign w:val="top"/>
          </w:tcPr>
          <w:p w14:paraId="0DB22FE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窗台无积尘。</w:t>
            </w:r>
          </w:p>
        </w:tc>
      </w:tr>
      <w:tr w14:paraId="581A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4FA20C2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57763DC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公共卫生间、开水房：地面、地漏、墙面、天棚、踢脚线、大小便器、垃圾篓、洗手盆、台面、镜子、门窗标牌、灯具、排气扇、上下水管道、水龙头、</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等。</w:t>
            </w:r>
          </w:p>
        </w:tc>
        <w:tc>
          <w:tcPr>
            <w:tcW w:w="2985" w:type="dxa"/>
            <w:noWrap w:val="0"/>
            <w:vAlign w:val="top"/>
          </w:tcPr>
          <w:p w14:paraId="46904C0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每天两次对卫生间全面保洁，且巡回每2小时保洁；开水房及卫生间地漏每周清理1次；天棚、灯具、窗玻璃排气扇每两周保洁1次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开水房每天保洁1次</w:t>
            </w:r>
            <w:r>
              <w:rPr>
                <w:rFonts w:hint="eastAsia" w:ascii="仿宋" w:hAnsi="仿宋" w:eastAsia="仿宋" w:cs="仿宋"/>
                <w:color w:val="auto"/>
                <w:position w:val="-1"/>
                <w:sz w:val="24"/>
                <w:szCs w:val="24"/>
                <w:lang w:eastAsia="zh-CN"/>
              </w:rPr>
              <w:t>且巡回保洁</w:t>
            </w:r>
            <w:r>
              <w:rPr>
                <w:rFonts w:hint="eastAsia" w:ascii="仿宋" w:hAnsi="仿宋" w:eastAsia="仿宋" w:cs="仿宋"/>
                <w:color w:val="auto"/>
                <w:position w:val="-1"/>
                <w:sz w:val="24"/>
                <w:szCs w:val="24"/>
              </w:rPr>
              <w:t>，</w:t>
            </w:r>
            <w:r>
              <w:rPr>
                <w:rFonts w:hint="eastAsia" w:ascii="仿宋" w:hAnsi="仿宋" w:eastAsia="仿宋" w:cs="仿宋"/>
                <w:color w:val="auto"/>
                <w:position w:val="-1"/>
                <w:sz w:val="24"/>
                <w:szCs w:val="24"/>
                <w:lang w:eastAsia="zh-CN"/>
              </w:rPr>
              <w:t>饮水机每天保洁</w:t>
            </w:r>
            <w:r>
              <w:rPr>
                <w:rFonts w:hint="eastAsia" w:ascii="仿宋" w:hAnsi="仿宋" w:eastAsia="仿宋" w:cs="仿宋"/>
                <w:color w:val="auto"/>
                <w:position w:val="-1"/>
                <w:sz w:val="24"/>
                <w:szCs w:val="24"/>
              </w:rPr>
              <w:t>1次。</w:t>
            </w:r>
          </w:p>
        </w:tc>
        <w:tc>
          <w:tcPr>
            <w:tcW w:w="2846" w:type="dxa"/>
            <w:noWrap w:val="0"/>
            <w:vAlign w:val="top"/>
          </w:tcPr>
          <w:p w14:paraId="00AFA70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卫生间无异味，有熏香樟脑丸等洁厕物品、厕坑便具洁净无污物、无黄渍、镜面、水盆、台面、水龙头无污点，光亮；纸篓加装垃圾袋并随时清理；墙面、天棚、墙角、灯具无积尘、蜘蛛网，光亮；</w:t>
            </w:r>
            <w:r>
              <w:rPr>
                <w:rFonts w:hint="eastAsia" w:ascii="仿宋" w:hAnsi="仿宋" w:eastAsia="仿宋" w:cs="仿宋"/>
                <w:color w:val="auto"/>
                <w:position w:val="-1"/>
                <w:sz w:val="24"/>
                <w:szCs w:val="24"/>
                <w:lang w:eastAsia="zh-CN"/>
              </w:rPr>
              <w:t>开水房</w:t>
            </w:r>
            <w:r>
              <w:rPr>
                <w:rFonts w:hint="eastAsia" w:ascii="仿宋" w:hAnsi="仿宋" w:eastAsia="仿宋" w:cs="仿宋"/>
                <w:color w:val="auto"/>
                <w:position w:val="-1"/>
                <w:sz w:val="24"/>
                <w:szCs w:val="24"/>
              </w:rPr>
              <w:t>地面无水渍、无污渍，无垃圾，保洁工具与保洁用品要统一放在指定地点</w:t>
            </w:r>
            <w:r>
              <w:rPr>
                <w:rFonts w:hint="eastAsia" w:ascii="仿宋" w:hAnsi="仿宋" w:eastAsia="仿宋" w:cs="仿宋"/>
                <w:color w:val="auto"/>
                <w:position w:val="-1"/>
                <w:sz w:val="24"/>
                <w:szCs w:val="24"/>
                <w:lang w:eastAsia="zh-CN"/>
              </w:rPr>
              <w:t>；饮水机无茶渍、无垃圾。</w:t>
            </w:r>
          </w:p>
        </w:tc>
      </w:tr>
      <w:tr w14:paraId="3E09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9706EC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809B27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会议室、接待室</w:t>
            </w:r>
            <w:r>
              <w:rPr>
                <w:rFonts w:hint="eastAsia" w:ascii="仿宋" w:hAnsi="仿宋" w:eastAsia="仿宋" w:cs="仿宋"/>
                <w:color w:val="auto"/>
                <w:position w:val="-1"/>
                <w:sz w:val="24"/>
                <w:szCs w:val="24"/>
                <w:lang w:eastAsia="zh-CN"/>
              </w:rPr>
              <w:t>、报告厅</w:t>
            </w:r>
            <w:r>
              <w:rPr>
                <w:rFonts w:hint="eastAsia" w:ascii="仿宋" w:hAnsi="仿宋" w:eastAsia="仿宋" w:cs="仿宋"/>
                <w:color w:val="auto"/>
                <w:position w:val="-1"/>
                <w:sz w:val="24"/>
                <w:szCs w:val="24"/>
              </w:rPr>
              <w:t>：</w:t>
            </w:r>
            <w:r>
              <w:rPr>
                <w:rFonts w:hint="eastAsia" w:ascii="仿宋" w:hAnsi="仿宋" w:eastAsia="仿宋" w:cs="仿宋"/>
                <w:color w:val="auto"/>
                <w:position w:val="-1"/>
                <w:sz w:val="24"/>
                <w:szCs w:val="24"/>
                <w:lang w:eastAsia="zh-CN"/>
              </w:rPr>
              <w:t>沙发、茶几、</w:t>
            </w:r>
            <w:r>
              <w:rPr>
                <w:rFonts w:hint="eastAsia" w:ascii="仿宋" w:hAnsi="仿宋" w:eastAsia="仿宋" w:cs="仿宋"/>
                <w:color w:val="auto"/>
                <w:position w:val="-1"/>
                <w:sz w:val="24"/>
                <w:szCs w:val="24"/>
              </w:rPr>
              <w:t>观众席</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座椅、指示标牌、桌椅、地面、窗台、窗玻璃、门楣、门套、墙面、墙角、天棚、灯具、茶具设备。</w:t>
            </w:r>
          </w:p>
        </w:tc>
        <w:tc>
          <w:tcPr>
            <w:tcW w:w="2985" w:type="dxa"/>
            <w:noWrap w:val="0"/>
            <w:vAlign w:val="top"/>
          </w:tcPr>
          <w:p w14:paraId="431F6FD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使用准备时全面清理保洁1次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但会议结束当日清理，窗玻璃每两</w:t>
            </w:r>
            <w:r>
              <w:rPr>
                <w:rFonts w:hint="eastAsia" w:ascii="仿宋" w:hAnsi="仿宋" w:eastAsia="仿宋" w:cs="仿宋"/>
                <w:color w:val="auto"/>
                <w:position w:val="-1"/>
                <w:sz w:val="24"/>
                <w:szCs w:val="24"/>
                <w:lang w:eastAsia="zh-CN"/>
              </w:rPr>
              <w:t>周</w:t>
            </w:r>
            <w:r>
              <w:rPr>
                <w:rFonts w:hint="eastAsia" w:ascii="仿宋" w:hAnsi="仿宋" w:eastAsia="仿宋" w:cs="仿宋"/>
                <w:color w:val="auto"/>
                <w:position w:val="-1"/>
                <w:sz w:val="24"/>
                <w:szCs w:val="24"/>
              </w:rPr>
              <w:t>1次</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会议桌椅、</w:t>
            </w:r>
            <w:r>
              <w:rPr>
                <w:rFonts w:hint="eastAsia" w:ascii="仿宋" w:hAnsi="仿宋" w:eastAsia="仿宋" w:cs="仿宋"/>
                <w:color w:val="auto"/>
                <w:position w:val="-1"/>
                <w:sz w:val="24"/>
                <w:szCs w:val="24"/>
                <w:lang w:eastAsia="zh-CN"/>
              </w:rPr>
              <w:t>茶几、</w:t>
            </w:r>
            <w:r>
              <w:rPr>
                <w:rFonts w:hint="eastAsia" w:ascii="仿宋" w:hAnsi="仿宋" w:eastAsia="仿宋" w:cs="仿宋"/>
                <w:color w:val="auto"/>
                <w:position w:val="-1"/>
                <w:sz w:val="24"/>
                <w:szCs w:val="24"/>
              </w:rPr>
              <w:t>地面、窗台、门楣、门套、墙面、墙角三日1次；（</w:t>
            </w:r>
            <w:r>
              <w:rPr>
                <w:rFonts w:hint="eastAsia" w:ascii="仿宋" w:hAnsi="仿宋" w:eastAsia="仿宋" w:cs="仿宋"/>
                <w:color w:val="auto"/>
                <w:position w:val="-1"/>
                <w:sz w:val="24"/>
                <w:szCs w:val="24"/>
                <w:lang w:eastAsia="zh-CN"/>
              </w:rPr>
              <w:t>沙发套、地毯及</w:t>
            </w:r>
            <w:r>
              <w:rPr>
                <w:rFonts w:hint="eastAsia" w:ascii="仿宋" w:hAnsi="仿宋" w:eastAsia="仿宋" w:cs="仿宋"/>
                <w:color w:val="auto"/>
                <w:position w:val="-1"/>
                <w:sz w:val="24"/>
                <w:szCs w:val="24"/>
              </w:rPr>
              <w:t>座</w:t>
            </w:r>
            <w:r>
              <w:rPr>
                <w:rFonts w:hint="eastAsia" w:ascii="仿宋" w:hAnsi="仿宋" w:eastAsia="仿宋" w:cs="仿宋"/>
                <w:color w:val="auto"/>
                <w:position w:val="-1"/>
                <w:sz w:val="24"/>
                <w:szCs w:val="24"/>
                <w:lang w:eastAsia="zh-CN"/>
              </w:rPr>
              <w:t>椅</w:t>
            </w:r>
            <w:r>
              <w:rPr>
                <w:rFonts w:hint="eastAsia" w:ascii="仿宋" w:hAnsi="仿宋" w:eastAsia="仿宋" w:cs="仿宋"/>
                <w:color w:val="auto"/>
                <w:position w:val="-1"/>
                <w:sz w:val="24"/>
                <w:szCs w:val="24"/>
              </w:rPr>
              <w:t>套 1年清洗1次）。</w:t>
            </w:r>
          </w:p>
        </w:tc>
        <w:tc>
          <w:tcPr>
            <w:tcW w:w="2846" w:type="dxa"/>
            <w:noWrap w:val="0"/>
            <w:vAlign w:val="top"/>
          </w:tcPr>
          <w:p w14:paraId="7F86CF5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会议桌椅、地面、窗台、门楣、门套、墙面、墙角无积尘、无污渍、光亮；会议桌摆放整齐。窗帘挂放整齐；窗玻璃无积尘、无污渍</w:t>
            </w:r>
            <w:r>
              <w:rPr>
                <w:rFonts w:hint="eastAsia" w:ascii="仿宋" w:hAnsi="仿宋" w:eastAsia="仿宋" w:cs="仿宋"/>
                <w:color w:val="auto"/>
                <w:position w:val="-1"/>
                <w:sz w:val="24"/>
                <w:szCs w:val="24"/>
                <w:lang w:eastAsia="zh-CN"/>
              </w:rPr>
              <w:t>；沙发套、</w:t>
            </w:r>
            <w:r>
              <w:rPr>
                <w:rFonts w:hint="eastAsia" w:ascii="仿宋" w:hAnsi="仿宋" w:eastAsia="仿宋" w:cs="仿宋"/>
                <w:color w:val="auto"/>
                <w:position w:val="-1"/>
                <w:sz w:val="24"/>
                <w:szCs w:val="24"/>
              </w:rPr>
              <w:t>座椅套、</w:t>
            </w:r>
            <w:r>
              <w:rPr>
                <w:rFonts w:hint="eastAsia" w:ascii="仿宋" w:hAnsi="仿宋" w:eastAsia="仿宋" w:cs="仿宋"/>
                <w:color w:val="auto"/>
                <w:position w:val="-1"/>
                <w:sz w:val="24"/>
                <w:szCs w:val="24"/>
                <w:lang w:eastAsia="zh-CN"/>
              </w:rPr>
              <w:t>地毯无污渍、</w:t>
            </w:r>
            <w:r>
              <w:rPr>
                <w:rFonts w:hint="eastAsia" w:ascii="仿宋" w:hAnsi="仿宋" w:eastAsia="仿宋" w:cs="仿宋"/>
                <w:color w:val="auto"/>
                <w:position w:val="-1"/>
                <w:sz w:val="24"/>
                <w:szCs w:val="24"/>
              </w:rPr>
              <w:t>无积尘</w:t>
            </w:r>
            <w:r>
              <w:rPr>
                <w:rFonts w:hint="eastAsia" w:ascii="仿宋" w:hAnsi="仿宋" w:eastAsia="仿宋" w:cs="仿宋"/>
                <w:color w:val="auto"/>
                <w:position w:val="-1"/>
                <w:sz w:val="24"/>
                <w:szCs w:val="24"/>
                <w:lang w:eastAsia="zh-CN"/>
              </w:rPr>
              <w:t>，干净整洁；</w:t>
            </w:r>
            <w:r>
              <w:rPr>
                <w:rFonts w:hint="eastAsia" w:ascii="仿宋" w:hAnsi="仿宋" w:eastAsia="仿宋" w:cs="仿宋"/>
                <w:color w:val="auto"/>
                <w:position w:val="-1"/>
                <w:sz w:val="24"/>
                <w:szCs w:val="24"/>
              </w:rPr>
              <w:t>室内无异味</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室内空气质量好。</w:t>
            </w:r>
          </w:p>
        </w:tc>
      </w:tr>
      <w:tr w14:paraId="03F7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679DC3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66FFA4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zh-CN"/>
              </w:rPr>
              <w:t>5</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lang w:val="zh-CN"/>
              </w:rPr>
              <w:t>阅览室、书库：阅览桌椅、书架（柜）、地面、窗台、窗玻璃、门楣、门套、墙面、墙角。</w:t>
            </w:r>
          </w:p>
        </w:tc>
        <w:tc>
          <w:tcPr>
            <w:tcW w:w="2985" w:type="dxa"/>
            <w:noWrap w:val="0"/>
            <w:vAlign w:val="top"/>
          </w:tcPr>
          <w:p w14:paraId="19B862A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zh-CN"/>
              </w:rPr>
              <w:t>阅览桌椅、地面、窗台每天保洁1次，门楣、门套、墙面、墙角两日1次。</w:t>
            </w:r>
          </w:p>
        </w:tc>
        <w:tc>
          <w:tcPr>
            <w:tcW w:w="2846" w:type="dxa"/>
            <w:noWrap w:val="0"/>
            <w:vAlign w:val="top"/>
          </w:tcPr>
          <w:p w14:paraId="133544D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zh-CN"/>
              </w:rPr>
              <w:t>阅览桌椅、窗台、地面、门楣、门套、墙面、墙角无积尘、无污渍，光亮；阅览桌椅摆放整齐。</w:t>
            </w:r>
          </w:p>
        </w:tc>
      </w:tr>
      <w:tr w14:paraId="26AE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59ACB91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4CE04A1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6</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电梯：电梯轿厢、电梯厅、电梯门及门套、指示板、厢壁、通风口、天花板、灯具、监控器探头。</w:t>
            </w:r>
          </w:p>
        </w:tc>
        <w:tc>
          <w:tcPr>
            <w:tcW w:w="2985" w:type="dxa"/>
            <w:noWrap w:val="0"/>
            <w:vAlign w:val="top"/>
          </w:tcPr>
          <w:p w14:paraId="0B5D9D7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电梯轿厢、电梯厅、电梯门及门套、指示板、厢壁、每天保洁1次，且每两小时巡回保洁天花板、灯具、监控器探头每周1次；电梯轿厢保养，每月2次。</w:t>
            </w:r>
          </w:p>
        </w:tc>
        <w:tc>
          <w:tcPr>
            <w:tcW w:w="2846" w:type="dxa"/>
            <w:noWrap w:val="0"/>
            <w:vAlign w:val="top"/>
          </w:tcPr>
          <w:p w14:paraId="0B14B9D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电梯轿厢内无积尘、无污渍、无粘贴物；灯具、指示板明亮；厢内地面干净、无垃圾杂物；不锈钢表面无手印、无积尘，无污渍、光亮；电梯门槽内无垃圾杂物。</w:t>
            </w:r>
          </w:p>
        </w:tc>
      </w:tr>
      <w:tr w14:paraId="67DE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noWrap w:val="0"/>
            <w:vAlign w:val="center"/>
          </w:tcPr>
          <w:p w14:paraId="278D29E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eastAsia="zh-CN"/>
              </w:rPr>
              <w:t>图书馆</w:t>
            </w:r>
            <w:r>
              <w:rPr>
                <w:rFonts w:hint="eastAsia" w:ascii="仿宋" w:hAnsi="仿宋" w:eastAsia="仿宋" w:cs="仿宋"/>
                <w:color w:val="auto"/>
                <w:position w:val="-1"/>
                <w:sz w:val="24"/>
                <w:szCs w:val="24"/>
              </w:rPr>
              <w:t>展览厅</w:t>
            </w:r>
            <w:r>
              <w:rPr>
                <w:rFonts w:hint="eastAsia" w:ascii="仿宋" w:hAnsi="仿宋" w:eastAsia="仿宋" w:cs="仿宋"/>
                <w:color w:val="auto"/>
                <w:position w:val="-1"/>
                <w:sz w:val="24"/>
                <w:szCs w:val="24"/>
                <w:lang w:eastAsia="zh-CN"/>
              </w:rPr>
              <w:t>及文化教育基地</w:t>
            </w:r>
          </w:p>
        </w:tc>
        <w:tc>
          <w:tcPr>
            <w:tcW w:w="2088" w:type="dxa"/>
            <w:noWrap w:val="0"/>
            <w:vAlign w:val="top"/>
          </w:tcPr>
          <w:p w14:paraId="1CA04F0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en-US" w:eastAsia="zh-CN"/>
              </w:rPr>
              <w:t>7.</w:t>
            </w:r>
            <w:r>
              <w:rPr>
                <w:rFonts w:hint="eastAsia" w:ascii="仿宋" w:hAnsi="仿宋" w:eastAsia="仿宋" w:cs="仿宋"/>
                <w:color w:val="auto"/>
                <w:position w:val="-1"/>
                <w:sz w:val="24"/>
                <w:szCs w:val="24"/>
              </w:rPr>
              <w:t>地面、窗台、窗玻璃、门楣、门套、墙面、墙角、天棚、展览台（柜）、展板、镜框、灯具。</w:t>
            </w:r>
          </w:p>
        </w:tc>
        <w:tc>
          <w:tcPr>
            <w:tcW w:w="2985" w:type="dxa"/>
            <w:noWrap w:val="0"/>
            <w:vAlign w:val="top"/>
          </w:tcPr>
          <w:p w14:paraId="020DD25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开放期间每天全面保洁1次闭馆期间地面、窗台、窗（柜）玻璃、门楣、门套、墙面、墙角、天棚展览台（柜）、展板、镜框每周保洁1次；灯具每月保洁1次。</w:t>
            </w:r>
          </w:p>
        </w:tc>
        <w:tc>
          <w:tcPr>
            <w:tcW w:w="2846" w:type="dxa"/>
            <w:noWrap w:val="0"/>
            <w:vAlign w:val="top"/>
          </w:tcPr>
          <w:p w14:paraId="15FAB5D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地面、窗台、窗玻璃、门楣、门套、墙面、展览台（柜）、展板、镜框、无积尘、无污渍，室内空气良好，整体清洁整齐，明亮，展览作品无积尘、无污</w:t>
            </w:r>
            <w:r>
              <w:rPr>
                <w:rFonts w:hint="eastAsia" w:ascii="仿宋" w:hAnsi="仿宋" w:eastAsia="仿宋" w:cs="仿宋"/>
                <w:color w:val="auto"/>
                <w:position w:val="-1"/>
                <w:sz w:val="24"/>
                <w:szCs w:val="24"/>
                <w:lang w:val="zh-CN"/>
              </w:rPr>
              <w:t>渍。</w:t>
            </w:r>
          </w:p>
        </w:tc>
      </w:tr>
      <w:tr w14:paraId="6D9D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29CE476F">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76DF8E08">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76C7353">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30EA4C3F">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5EC49C54">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5C8007D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63FD9C24">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62158B4">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1DCB673">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23BA492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312239F0">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7C983568">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4C2175F5">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3CA6AB9">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129244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569CCAFE">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63206DE7">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CCEE4E9">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A6F8A86">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3B452E2A">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3CA1CF2">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0402AB35">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学</w:t>
            </w:r>
          </w:p>
          <w:p w14:paraId="3AFAE483">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2AF01D8A">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生</w:t>
            </w:r>
          </w:p>
          <w:p w14:paraId="5BB49080">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5863384D">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公</w:t>
            </w:r>
          </w:p>
          <w:p w14:paraId="6EEE185E">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1320F9B2">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寓</w:t>
            </w:r>
          </w:p>
          <w:p w14:paraId="3C40CAB2">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p>
          <w:p w14:paraId="5301CC81">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楼</w:t>
            </w:r>
          </w:p>
        </w:tc>
        <w:tc>
          <w:tcPr>
            <w:tcW w:w="2088" w:type="dxa"/>
            <w:noWrap w:val="0"/>
            <w:vAlign w:val="top"/>
          </w:tcPr>
          <w:p w14:paraId="0A5AA9D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大厅：地面、墙面、踢脚线、台阶、天棚、装饰门及门套、宣传窗、垃圾桶、消防设施灯具装饰柱、植物花盆、人脸识别闸机以及边门。</w:t>
            </w:r>
          </w:p>
        </w:tc>
        <w:tc>
          <w:tcPr>
            <w:tcW w:w="2985" w:type="dxa"/>
            <w:noWrap w:val="0"/>
            <w:vAlign w:val="top"/>
          </w:tcPr>
          <w:p w14:paraId="705E521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台阶、宣传窗、垃圾桶、装饰柱、植物花盆等每天保洁1次，且巡回保洁；装饰门及门套、踢脚线等5天保洁1次；墙面、天棚、消防设施、灯具每二周保洁1次（灯罩内部每年清洁两次）；大理石（花岗岩）每三个月打蜡1次，每两周抛光1次；地砖或水磨石地面每月彻底刷洗1次；</w:t>
            </w:r>
          </w:p>
        </w:tc>
        <w:tc>
          <w:tcPr>
            <w:tcW w:w="2846" w:type="dxa"/>
            <w:noWrap w:val="0"/>
            <w:vAlign w:val="top"/>
          </w:tcPr>
          <w:p w14:paraId="2B754F2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14:paraId="0A31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146031D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02D4BD3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w:t>
            </w:r>
            <w:r>
              <w:rPr>
                <w:rFonts w:hint="eastAsia" w:ascii="仿宋" w:hAnsi="仿宋" w:eastAsia="仿宋" w:cs="仿宋"/>
                <w:color w:val="auto"/>
                <w:position w:val="-1"/>
                <w:sz w:val="24"/>
                <w:szCs w:val="24"/>
                <w:lang w:eastAsia="zh-CN"/>
              </w:rPr>
              <w:t>（含书院公共走廊及步梯）</w:t>
            </w:r>
            <w:r>
              <w:rPr>
                <w:rFonts w:hint="eastAsia" w:ascii="仿宋" w:hAnsi="仿宋" w:eastAsia="仿宋" w:cs="仿宋"/>
                <w:color w:val="auto"/>
                <w:position w:val="-1"/>
                <w:sz w:val="24"/>
                <w:szCs w:val="24"/>
              </w:rPr>
              <w:t>：地面、楼道梯级、扶手、墙面、踢脚线、配电箱、消防设备、楼道门、窗、灯具及开关、垃圾桶等。</w:t>
            </w:r>
          </w:p>
        </w:tc>
        <w:tc>
          <w:tcPr>
            <w:tcW w:w="2985" w:type="dxa"/>
            <w:noWrap w:val="0"/>
            <w:vAlign w:val="top"/>
          </w:tcPr>
          <w:p w14:paraId="31BF77E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每天保洁1次且巡回保洁；踢脚线、配电箱、消防设备、楼道门、窗、灯具及开关每二周保洁1次（灯罩内部每年清洁两次）；大理石（花岗岩）每三个月打蜡1次，每两周抛光1次。</w:t>
            </w:r>
          </w:p>
        </w:tc>
        <w:tc>
          <w:tcPr>
            <w:tcW w:w="2846" w:type="dxa"/>
            <w:noWrap w:val="0"/>
            <w:vAlign w:val="top"/>
          </w:tcPr>
          <w:p w14:paraId="1A2C4E6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窗台无积尘。</w:t>
            </w:r>
          </w:p>
        </w:tc>
      </w:tr>
      <w:tr w14:paraId="334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73064B0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6263E2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w:t>
            </w:r>
            <w:r>
              <w:rPr>
                <w:rFonts w:hint="eastAsia" w:ascii="仿宋" w:hAnsi="仿宋" w:eastAsia="仿宋" w:cs="仿宋"/>
                <w:color w:val="auto"/>
                <w:position w:val="-1"/>
                <w:sz w:val="24"/>
                <w:szCs w:val="24"/>
                <w:lang w:eastAsia="zh-CN"/>
              </w:rPr>
              <w:t>（含书院公共卫生间）</w:t>
            </w:r>
            <w:r>
              <w:rPr>
                <w:rFonts w:hint="eastAsia" w:ascii="仿宋" w:hAnsi="仿宋" w:eastAsia="仿宋" w:cs="仿宋"/>
                <w:color w:val="auto"/>
                <w:position w:val="-1"/>
                <w:sz w:val="24"/>
                <w:szCs w:val="24"/>
              </w:rPr>
              <w:t>、开水房</w:t>
            </w:r>
            <w:r>
              <w:rPr>
                <w:rFonts w:hint="eastAsia" w:ascii="仿宋" w:hAnsi="仿宋" w:eastAsia="仿宋" w:cs="仿宋"/>
                <w:color w:val="auto"/>
                <w:position w:val="-1"/>
                <w:sz w:val="24"/>
                <w:szCs w:val="24"/>
                <w:lang w:eastAsia="zh-CN"/>
              </w:rPr>
              <w:t>、洗衣房</w:t>
            </w:r>
            <w:r>
              <w:rPr>
                <w:rFonts w:hint="eastAsia" w:ascii="仿宋" w:hAnsi="仿宋" w:eastAsia="仿宋" w:cs="仿宋"/>
                <w:color w:val="auto"/>
                <w:position w:val="-1"/>
                <w:sz w:val="24"/>
                <w:szCs w:val="24"/>
              </w:rPr>
              <w:t>：地面、地漏、墙面、天棚、大小便器、垃圾篓、洗手盆、台面、镜子、门窗标牌、灯具、排气扇、上下水管道、水龙头、洗漱池等。</w:t>
            </w:r>
          </w:p>
        </w:tc>
        <w:tc>
          <w:tcPr>
            <w:tcW w:w="2985" w:type="dxa"/>
            <w:noWrap w:val="0"/>
            <w:vAlign w:val="top"/>
          </w:tcPr>
          <w:p w14:paraId="06AD564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每天两次对卫生间全面保洁且巡回保洁2次；开水房及卫生间地漏每周清理1次；天棚、灯具（灯罩内部每年清洁两次）、窗玻璃排气扇每两周保洁1次。</w:t>
            </w:r>
          </w:p>
        </w:tc>
        <w:tc>
          <w:tcPr>
            <w:tcW w:w="2846" w:type="dxa"/>
            <w:noWrap w:val="0"/>
            <w:vAlign w:val="top"/>
          </w:tcPr>
          <w:p w14:paraId="6383051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卫生间无异味，开水房周边地面墙面保持干燥整洁，无积水、有熏香樟脑丸等洁厕物品、厕坑便具洁净无污物、无黄渍、镜面、水盆、台面、水龙头无污点，光亮；纸篓加装垃圾袋并随时清理，垃圾容积不得超过三分之二；墙面、天棚、墙角、灯具无积尘、蜘蛛网，光亮；地面无水渍、无污渍，无垃圾。保洁工具与用品统一放在指定地点。</w:t>
            </w:r>
          </w:p>
        </w:tc>
      </w:tr>
      <w:tr w14:paraId="4D7D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496CAF3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EAA688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电梯及各楼宇屋面：电梯轿厢、电梯厅、电梯门及门套、指示板、厢壁、通风口、天花板、灯具、监控器探头。</w:t>
            </w:r>
          </w:p>
        </w:tc>
        <w:tc>
          <w:tcPr>
            <w:tcW w:w="2985" w:type="dxa"/>
            <w:noWrap w:val="0"/>
            <w:vAlign w:val="top"/>
          </w:tcPr>
          <w:p w14:paraId="2CD96E4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电梯轿厢、电梯厅、电梯门及门套、指示板、厢壁、每天保洁1次，且巡回保洁天花板、灯具、监控器探头每周1次；各楼宇屋面定期巡查。电梯轿厢保养，每月2次；</w:t>
            </w:r>
          </w:p>
        </w:tc>
        <w:tc>
          <w:tcPr>
            <w:tcW w:w="2846" w:type="dxa"/>
            <w:noWrap w:val="0"/>
            <w:vAlign w:val="top"/>
          </w:tcPr>
          <w:p w14:paraId="70F0E99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电梯轿厢内无积尘、无污渍、无粘贴物；灯具、指示板明亮；厢内地面干净、无垃圾杂物；不锈钢表面无手印、无积尘，无污渍、光亮；电梯门槽内无垃圾杂物；各楼宇屋面定期巡查，整洁有序、无杂物。</w:t>
            </w:r>
          </w:p>
        </w:tc>
      </w:tr>
      <w:tr w14:paraId="3C5D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noWrap w:val="0"/>
            <w:vAlign w:val="center"/>
          </w:tcPr>
          <w:p w14:paraId="5884BED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eastAsia="zh-CN"/>
              </w:rPr>
              <w:t>学生公寓</w:t>
            </w:r>
            <w:r>
              <w:rPr>
                <w:rFonts w:hint="eastAsia" w:ascii="仿宋" w:hAnsi="仿宋" w:eastAsia="仿宋" w:cs="仿宋"/>
                <w:color w:val="auto"/>
                <w:position w:val="-1"/>
                <w:sz w:val="24"/>
                <w:szCs w:val="24"/>
              </w:rPr>
              <w:t>电梯</w:t>
            </w:r>
          </w:p>
        </w:tc>
        <w:tc>
          <w:tcPr>
            <w:tcW w:w="2088" w:type="dxa"/>
            <w:noWrap w:val="0"/>
            <w:vAlign w:val="top"/>
          </w:tcPr>
          <w:p w14:paraId="0D89DF4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电梯轿厢、电梯厅、电梯门及门套、指示板、厢壁、通风口、天花板、灯具、监控器探头。</w:t>
            </w:r>
          </w:p>
          <w:p w14:paraId="0A3553A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985" w:type="dxa"/>
            <w:noWrap w:val="0"/>
            <w:vAlign w:val="top"/>
          </w:tcPr>
          <w:p w14:paraId="4EE3D0A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电梯轿厢、电梯厅、电梯门及门套、指示板、厢壁、每天保洁1次，且巡回保洁；天花板、灯具、监控器探头每周保洁1次。电梯轿厢保养，每月2次。</w:t>
            </w:r>
          </w:p>
        </w:tc>
        <w:tc>
          <w:tcPr>
            <w:tcW w:w="2846" w:type="dxa"/>
            <w:noWrap w:val="0"/>
            <w:vAlign w:val="top"/>
          </w:tcPr>
          <w:p w14:paraId="51E71AD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电梯轿厢内无积尘、无污渍、无粘贴物；灯具、指示板明亮 ；厢内地面干净、无垃圾杂物；不锈钢表面无手印、无积尘，无污渍、光亮；电梯门槽内无垃圾杂物。</w:t>
            </w:r>
          </w:p>
        </w:tc>
      </w:tr>
      <w:tr w14:paraId="3A26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6268E3A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bookmarkStart w:id="563" w:name="_Toc19131"/>
            <w:r>
              <w:rPr>
                <w:rFonts w:hint="eastAsia" w:ascii="仿宋" w:hAnsi="仿宋" w:eastAsia="仿宋" w:cs="仿宋"/>
                <w:color w:val="auto"/>
                <w:position w:val="-1"/>
                <w:sz w:val="24"/>
                <w:szCs w:val="24"/>
                <w:lang w:eastAsia="zh-CN"/>
              </w:rPr>
              <w:t>大学生科创中心</w:t>
            </w:r>
          </w:p>
        </w:tc>
        <w:tc>
          <w:tcPr>
            <w:tcW w:w="2088" w:type="dxa"/>
            <w:noWrap w:val="0"/>
            <w:vAlign w:val="top"/>
          </w:tcPr>
          <w:p w14:paraId="60AFE6E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大厅：地面、墙面、踢脚线、台阶、天棚、装饰门、窗户、玻璃、窗台、装饰门及门套、宣传窗、垃圾桶、消防设施灯具、装饰柱、植物花盆、</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等。</w:t>
            </w:r>
          </w:p>
        </w:tc>
        <w:tc>
          <w:tcPr>
            <w:tcW w:w="2985" w:type="dxa"/>
            <w:noWrap w:val="0"/>
            <w:vAlign w:val="top"/>
          </w:tcPr>
          <w:p w14:paraId="60552A4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每天保洁1次，且巡回保洁；装饰门及门套、踢脚线等3天保洁1次；墙面、天棚、消防设施、灯具每二周保洁1次；大理石（花岗岩）每</w:t>
            </w:r>
            <w:r>
              <w:rPr>
                <w:rFonts w:hint="eastAsia" w:ascii="仿宋" w:hAnsi="仿宋" w:eastAsia="仿宋" w:cs="仿宋"/>
                <w:color w:val="auto"/>
                <w:position w:val="-1"/>
                <w:sz w:val="24"/>
                <w:szCs w:val="24"/>
                <w:lang w:eastAsia="zh-CN"/>
              </w:rPr>
              <w:t>三</w:t>
            </w:r>
            <w:r>
              <w:rPr>
                <w:rFonts w:hint="eastAsia" w:ascii="仿宋" w:hAnsi="仿宋" w:eastAsia="仿宋" w:cs="仿宋"/>
                <w:color w:val="auto"/>
                <w:position w:val="-1"/>
                <w:sz w:val="24"/>
                <w:szCs w:val="24"/>
              </w:rPr>
              <w:t>个月打蜡1次，每周抛光1次；地砖或水磨石地面每月彻底刷洗1次</w:t>
            </w:r>
            <w:r>
              <w:rPr>
                <w:rFonts w:hint="eastAsia" w:ascii="仿宋" w:hAnsi="仿宋" w:eastAsia="仿宋" w:cs="仿宋"/>
                <w:color w:val="auto"/>
                <w:position w:val="-1"/>
                <w:sz w:val="24"/>
                <w:szCs w:val="24"/>
                <w:lang w:eastAsia="zh-CN"/>
              </w:rPr>
              <w:t>；</w:t>
            </w:r>
          </w:p>
        </w:tc>
        <w:tc>
          <w:tcPr>
            <w:tcW w:w="2846" w:type="dxa"/>
            <w:noWrap w:val="0"/>
            <w:vAlign w:val="top"/>
          </w:tcPr>
          <w:p w14:paraId="0ACB687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地面无水渍、无污渍、无垃圾、无积尘、光亮干净，墙面无灰尘、无污渍，光亮，墙角无蜘蛛网，公共设施表面无积尘、无污渍、光亮；不锈钢表面无手印，无积尘，无污渍、光亮；玻璃上无手印，无积尘，无污渍、明亮；植物花盆无积尘，无污渍。</w:t>
            </w:r>
          </w:p>
        </w:tc>
      </w:tr>
      <w:tr w14:paraId="3BF7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26E9EE2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3C461CE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楼道：地面、楼道梯级、扶手、墙面、踢脚线、配电箱、消防设备、楼道门、窗、灯具及开关、垃圾桶楼梯、扶手、墙面、等消毒记录表。</w:t>
            </w:r>
          </w:p>
        </w:tc>
        <w:tc>
          <w:tcPr>
            <w:tcW w:w="2985" w:type="dxa"/>
            <w:noWrap w:val="0"/>
            <w:vAlign w:val="top"/>
          </w:tcPr>
          <w:p w14:paraId="60508791">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每天保洁1次且巡回保洁踢脚线、配电箱、消防设备、楼道门、窗、消毒记录板表面、灯具及开关每二周保洁1次，大理石（花岗岩）每</w:t>
            </w:r>
            <w:r>
              <w:rPr>
                <w:rFonts w:hint="eastAsia" w:ascii="仿宋" w:hAnsi="仿宋" w:eastAsia="仿宋" w:cs="仿宋"/>
                <w:color w:val="auto"/>
                <w:position w:val="-1"/>
                <w:sz w:val="24"/>
                <w:szCs w:val="24"/>
                <w:lang w:eastAsia="zh-CN"/>
              </w:rPr>
              <w:t>三</w:t>
            </w:r>
            <w:r>
              <w:rPr>
                <w:rFonts w:hint="eastAsia" w:ascii="仿宋" w:hAnsi="仿宋" w:eastAsia="仿宋" w:cs="仿宋"/>
                <w:color w:val="auto"/>
                <w:position w:val="-1"/>
                <w:sz w:val="24"/>
                <w:szCs w:val="24"/>
              </w:rPr>
              <w:t>个月打蜡1次，每周抛光1次，地砖或水磨石地面每月彻底刷洗1次。</w:t>
            </w:r>
          </w:p>
        </w:tc>
        <w:tc>
          <w:tcPr>
            <w:tcW w:w="2846" w:type="dxa"/>
            <w:noWrap w:val="0"/>
            <w:vAlign w:val="top"/>
          </w:tcPr>
          <w:p w14:paraId="4682AA5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及消毒记录板表面无手印，无积尘，无污渍、光亮；玻璃上无手印，无积尘，无污渍、明亮；窗台无积尘。</w:t>
            </w:r>
          </w:p>
        </w:tc>
      </w:tr>
      <w:tr w14:paraId="7407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336FF22">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17F7345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3</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公共卫生间、开水房：地面、地漏、墙面、天棚、大小便器、垃圾篓、台面、镜子、门窗、灯具、排气扇、上下水管道、水龙头、</w:t>
            </w:r>
            <w:r>
              <w:rPr>
                <w:rFonts w:hint="eastAsia" w:ascii="仿宋" w:hAnsi="仿宋" w:eastAsia="仿宋" w:cs="仿宋"/>
                <w:color w:val="auto"/>
                <w:position w:val="-1"/>
                <w:sz w:val="24"/>
                <w:szCs w:val="24"/>
                <w:lang w:eastAsia="zh-CN"/>
              </w:rPr>
              <w:t>饮水机</w:t>
            </w:r>
            <w:r>
              <w:rPr>
                <w:rFonts w:hint="eastAsia" w:ascii="仿宋" w:hAnsi="仿宋" w:eastAsia="仿宋" w:cs="仿宋"/>
                <w:color w:val="auto"/>
                <w:position w:val="-1"/>
                <w:sz w:val="24"/>
                <w:szCs w:val="24"/>
              </w:rPr>
              <w:t>等。</w:t>
            </w:r>
          </w:p>
        </w:tc>
        <w:tc>
          <w:tcPr>
            <w:tcW w:w="2985" w:type="dxa"/>
            <w:noWrap w:val="0"/>
            <w:vAlign w:val="top"/>
          </w:tcPr>
          <w:p w14:paraId="7F7713F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每天两次对卫生间全面保洁，且巡回每两小时保洁；水房及卫生间地漏每周清理1次；天棚、灯具、窗玻璃排气扇每两周保洁1次；开水房每天保洁1次</w:t>
            </w:r>
            <w:r>
              <w:rPr>
                <w:rFonts w:hint="eastAsia" w:ascii="仿宋" w:hAnsi="仿宋" w:eastAsia="仿宋" w:cs="仿宋"/>
                <w:color w:val="auto"/>
                <w:position w:val="-1"/>
                <w:sz w:val="24"/>
                <w:szCs w:val="24"/>
                <w:lang w:eastAsia="zh-CN"/>
              </w:rPr>
              <w:t>且巡回保洁</w:t>
            </w:r>
            <w:r>
              <w:rPr>
                <w:rFonts w:hint="eastAsia" w:ascii="仿宋" w:hAnsi="仿宋" w:eastAsia="仿宋" w:cs="仿宋"/>
                <w:color w:val="auto"/>
                <w:position w:val="-1"/>
                <w:sz w:val="24"/>
                <w:szCs w:val="24"/>
              </w:rPr>
              <w:t>，</w:t>
            </w:r>
            <w:r>
              <w:rPr>
                <w:rFonts w:hint="eastAsia" w:ascii="仿宋" w:hAnsi="仿宋" w:eastAsia="仿宋" w:cs="仿宋"/>
                <w:color w:val="auto"/>
                <w:position w:val="-1"/>
                <w:sz w:val="24"/>
                <w:szCs w:val="24"/>
                <w:lang w:eastAsia="zh-CN"/>
              </w:rPr>
              <w:t>饮水机每天保洁</w:t>
            </w:r>
            <w:r>
              <w:rPr>
                <w:rFonts w:hint="eastAsia" w:ascii="仿宋" w:hAnsi="仿宋" w:eastAsia="仿宋" w:cs="仿宋"/>
                <w:color w:val="auto"/>
                <w:position w:val="-1"/>
                <w:sz w:val="24"/>
                <w:szCs w:val="24"/>
              </w:rPr>
              <w:t>1次。</w:t>
            </w:r>
          </w:p>
        </w:tc>
        <w:tc>
          <w:tcPr>
            <w:tcW w:w="2846" w:type="dxa"/>
            <w:noWrap w:val="0"/>
            <w:vAlign w:val="top"/>
          </w:tcPr>
          <w:p w14:paraId="777913A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卫生间无异味，无积水、有熏香樟脑丸等洁厕物品、厕坑便具洁净无污物、无黄渍、镜面、水盆、水龙头、台面无污点，光亮；纸篓加装垃圾袋并随时清理；墙面、天棚、墙角、灯具无积尘、无蜘蛛网；地面无水渍、无污渍，无垃圾，开水房达到卫生标准、安全可靠。保洁工具与保洁用品要统一放在指定地点。</w:t>
            </w:r>
            <w:r>
              <w:rPr>
                <w:rFonts w:hint="eastAsia" w:ascii="仿宋" w:hAnsi="仿宋" w:eastAsia="仿宋" w:cs="仿宋"/>
                <w:color w:val="auto"/>
                <w:position w:val="-1"/>
                <w:sz w:val="24"/>
                <w:szCs w:val="24"/>
                <w:lang w:eastAsia="zh-CN"/>
              </w:rPr>
              <w:t>饮水机无茶渍、无垃圾。</w:t>
            </w:r>
          </w:p>
        </w:tc>
      </w:tr>
      <w:tr w14:paraId="52FC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1D4FE7C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6FF4A57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4</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教室及教师休息室：桌椅、讲台，黑板、地面、踏步、窗台、窗玻璃、门楣、门套、墙面、墙角、天棚、灯具、设备、沙发、报告厅座套、窗帘、饮水机等。</w:t>
            </w:r>
          </w:p>
        </w:tc>
        <w:tc>
          <w:tcPr>
            <w:tcW w:w="2985" w:type="dxa"/>
            <w:noWrap w:val="0"/>
            <w:vAlign w:val="top"/>
          </w:tcPr>
          <w:p w14:paraId="44794CF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每日早、中、晚共3次并巡回保洁；天棚、灯具、设备每周1次；门窗玻璃每两周1次。教室窗帘、教师休息室窗帘每年暑期清洗一次，有严重污损时随时清洗。</w:t>
            </w:r>
          </w:p>
        </w:tc>
        <w:tc>
          <w:tcPr>
            <w:tcW w:w="2846" w:type="dxa"/>
            <w:noWrap w:val="0"/>
            <w:vAlign w:val="top"/>
          </w:tcPr>
          <w:p w14:paraId="0A5CC2E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桌椅、讲台，窗台、黑板、地面、踏步、门楣、门套、墙面、墙角无积尘，光亮；桌斗内无杂物；黑板板面擦净，板槽内无粉末，黑板周围整洁；窗台无积尘，窗帘挂放整齐；室内无异味；玻璃无水渍、无污渍，无积尘，光亮；捡拾物品及时上交楼管员做失物招领，不私自处理。教师休息室干净整洁，无杂物、无异味。</w:t>
            </w:r>
          </w:p>
        </w:tc>
      </w:tr>
      <w:tr w14:paraId="1DA9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2880453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7691921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5</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电梯及各楼宇屋面：电梯轿厢、电梯厅、电梯门及门套、指示板、厢壁等。</w:t>
            </w:r>
          </w:p>
        </w:tc>
        <w:tc>
          <w:tcPr>
            <w:tcW w:w="2985" w:type="dxa"/>
            <w:noWrap w:val="0"/>
            <w:vAlign w:val="top"/>
          </w:tcPr>
          <w:p w14:paraId="270C7AE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电梯轿厢、电梯厅、电梯门及门套、指示板、厢壁、每天保洁1次，且每两小时巡回保洁；电梯轿厢内无积尘、无污渍、无粘贴物；灯具、指示板明亮套、指示板、厢壁、通风口、天花板、灯具、监控器探头每周1次。各楼宇屋面定期巡查：电梯轿厢保养，每月1次。</w:t>
            </w:r>
          </w:p>
        </w:tc>
        <w:tc>
          <w:tcPr>
            <w:tcW w:w="2846" w:type="dxa"/>
            <w:noWrap w:val="0"/>
            <w:vAlign w:val="top"/>
          </w:tcPr>
          <w:p w14:paraId="0D74D9D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轿厢内地面干净、无垃圾杂物；不锈钢表面无手印、无积尘，无污渍、光亮；电梯门槽内无垃圾杂物。各楼宇屋面定期巡查，整洁有序、无杂物。</w:t>
            </w:r>
          </w:p>
        </w:tc>
      </w:tr>
      <w:tr w14:paraId="63F2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7401DB8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center"/>
          </w:tcPr>
          <w:p w14:paraId="747C28C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en-US" w:eastAsia="zh-CN"/>
              </w:rPr>
              <w:t>6.</w:t>
            </w:r>
            <w:r>
              <w:rPr>
                <w:rFonts w:hint="eastAsia" w:ascii="仿宋" w:hAnsi="仿宋" w:eastAsia="仿宋" w:cs="仿宋"/>
                <w:color w:val="auto"/>
                <w:position w:val="-1"/>
                <w:sz w:val="24"/>
                <w:szCs w:val="24"/>
              </w:rPr>
              <w:t>会议室及</w:t>
            </w:r>
            <w:r>
              <w:rPr>
                <w:rFonts w:hint="eastAsia" w:ascii="仿宋" w:hAnsi="仿宋" w:eastAsia="仿宋" w:cs="仿宋"/>
                <w:color w:val="auto"/>
                <w:position w:val="-1"/>
                <w:sz w:val="24"/>
                <w:szCs w:val="24"/>
                <w:lang w:eastAsia="zh-CN"/>
              </w:rPr>
              <w:t>礼堂</w:t>
            </w:r>
            <w:r>
              <w:rPr>
                <w:rFonts w:hint="eastAsia" w:ascii="仿宋" w:hAnsi="仿宋" w:eastAsia="仿宋" w:cs="仿宋"/>
                <w:color w:val="auto"/>
                <w:position w:val="-1"/>
                <w:sz w:val="24"/>
                <w:szCs w:val="24"/>
              </w:rPr>
              <w:t>报告厅</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主席台、座椅、地面、窗台、窗玻璃、门楣、门套、墙面、墙角、天棚、灯具</w:t>
            </w:r>
          </w:p>
        </w:tc>
        <w:tc>
          <w:tcPr>
            <w:tcW w:w="2985" w:type="dxa"/>
            <w:noWrap w:val="0"/>
            <w:vAlign w:val="top"/>
          </w:tcPr>
          <w:p w14:paraId="06F2135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每次会议前全面保洁1次，主席台、座椅、地面、窗台、窗玻璃、门楣、门套、墙面、墙角、天棚每周保洁1次；灯具每月保洁1次，座套1年清洗1次。</w:t>
            </w:r>
          </w:p>
        </w:tc>
        <w:tc>
          <w:tcPr>
            <w:tcW w:w="2846" w:type="dxa"/>
            <w:noWrap w:val="0"/>
            <w:vAlign w:val="top"/>
          </w:tcPr>
          <w:p w14:paraId="2654A29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主席台、座椅、地面、窗台、窗玻璃、门楣、门套、墙面无积尘、无污渍，室内空气良好，整体清洁整齐，明亮。</w:t>
            </w:r>
          </w:p>
        </w:tc>
      </w:tr>
      <w:tr w14:paraId="22BC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6DCC7B2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center"/>
          </w:tcPr>
          <w:p w14:paraId="4D34F50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en-US" w:eastAsia="zh-CN"/>
              </w:rPr>
              <w:t>7.外围大步梯及平台：台面、侧立面</w:t>
            </w:r>
          </w:p>
        </w:tc>
        <w:tc>
          <w:tcPr>
            <w:tcW w:w="2985" w:type="dxa"/>
            <w:noWrap w:val="0"/>
            <w:vAlign w:val="top"/>
          </w:tcPr>
          <w:p w14:paraId="2192519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eastAsia="zh-CN"/>
              </w:rPr>
              <w:t>步梯及平台每天清扫</w:t>
            </w:r>
            <w:r>
              <w:rPr>
                <w:rFonts w:hint="eastAsia" w:ascii="仿宋" w:hAnsi="仿宋" w:eastAsia="仿宋" w:cs="仿宋"/>
                <w:color w:val="auto"/>
                <w:position w:val="-1"/>
                <w:sz w:val="24"/>
                <w:szCs w:val="24"/>
                <w:lang w:val="en-US" w:eastAsia="zh-CN"/>
              </w:rPr>
              <w:t>2次并巡回保洁，每周地面冲刷1次。</w:t>
            </w:r>
          </w:p>
        </w:tc>
        <w:tc>
          <w:tcPr>
            <w:tcW w:w="2846" w:type="dxa"/>
            <w:noWrap w:val="0"/>
            <w:vAlign w:val="top"/>
          </w:tcPr>
          <w:p w14:paraId="30A3938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eastAsia="zh-CN"/>
              </w:rPr>
              <w:t>台面无垃圾、无积水、无杂草，保持整洁。</w:t>
            </w:r>
          </w:p>
        </w:tc>
      </w:tr>
      <w:tr w14:paraId="0A4C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noWrap w:val="0"/>
            <w:vAlign w:val="center"/>
          </w:tcPr>
          <w:p w14:paraId="2FD6A585">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eastAsia="zh-CN"/>
              </w:rPr>
              <w:t>室</w:t>
            </w:r>
          </w:p>
          <w:p w14:paraId="08C24D3E">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eastAsia="zh-CN"/>
              </w:rPr>
              <w:t>内</w:t>
            </w:r>
          </w:p>
          <w:p w14:paraId="4CDD7D7B">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eastAsia="zh-CN"/>
              </w:rPr>
              <w:t>训</w:t>
            </w:r>
          </w:p>
          <w:p w14:paraId="01DF138A">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eastAsia="zh-CN"/>
              </w:rPr>
              <w:t>练</w:t>
            </w:r>
          </w:p>
          <w:p w14:paraId="12E2291F">
            <w:pPr>
              <w:pageBreakBefore w:val="0"/>
              <w:kinsoku/>
              <w:wordWrap/>
              <w:overflowPunct/>
              <w:topLinePunct w:val="0"/>
              <w:autoSpaceDE/>
              <w:autoSpaceDN/>
              <w:bidi w:val="0"/>
              <w:spacing w:line="360" w:lineRule="auto"/>
              <w:ind w:left="0" w:leftChars="0" w:right="0"/>
              <w:jc w:val="center"/>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eastAsia="zh-CN"/>
              </w:rPr>
              <w:t>馆</w:t>
            </w:r>
          </w:p>
        </w:tc>
        <w:tc>
          <w:tcPr>
            <w:tcW w:w="2088" w:type="dxa"/>
            <w:noWrap w:val="0"/>
            <w:vAlign w:val="center"/>
          </w:tcPr>
          <w:p w14:paraId="459A58D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lang w:val="en-US" w:eastAsia="zh-CN"/>
              </w:rPr>
              <w:t>1.</w:t>
            </w:r>
            <w:r>
              <w:rPr>
                <w:rFonts w:hint="eastAsia" w:ascii="仿宋" w:hAnsi="仿宋" w:eastAsia="仿宋" w:cs="仿宋"/>
                <w:color w:val="auto"/>
                <w:position w:val="-1"/>
                <w:sz w:val="24"/>
                <w:szCs w:val="24"/>
              </w:rPr>
              <w:t>室内训练场馆</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地面</w:t>
            </w:r>
            <w:r>
              <w:rPr>
                <w:rFonts w:hint="eastAsia" w:ascii="仿宋" w:hAnsi="仿宋" w:eastAsia="仿宋" w:cs="仿宋"/>
                <w:color w:val="auto"/>
                <w:position w:val="-1"/>
                <w:sz w:val="24"/>
                <w:szCs w:val="24"/>
                <w:lang w:eastAsia="zh-CN"/>
              </w:rPr>
              <w:t>、墙</w:t>
            </w:r>
            <w:r>
              <w:rPr>
                <w:rFonts w:hint="eastAsia" w:ascii="仿宋" w:hAnsi="仿宋" w:eastAsia="仿宋" w:cs="仿宋"/>
                <w:color w:val="auto"/>
                <w:position w:val="-1"/>
                <w:sz w:val="24"/>
                <w:szCs w:val="24"/>
              </w:rPr>
              <w:t>面</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设施设备</w:t>
            </w:r>
            <w:r>
              <w:rPr>
                <w:rFonts w:hint="eastAsia" w:ascii="仿宋" w:hAnsi="仿宋" w:eastAsia="仿宋" w:cs="仿宋"/>
                <w:color w:val="auto"/>
                <w:position w:val="-1"/>
                <w:sz w:val="24"/>
                <w:szCs w:val="24"/>
                <w:lang w:eastAsia="zh-CN"/>
              </w:rPr>
              <w:t>、卫生间</w:t>
            </w:r>
          </w:p>
          <w:p w14:paraId="545C15F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p>
          <w:p w14:paraId="722FF6E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p>
        </w:tc>
        <w:tc>
          <w:tcPr>
            <w:tcW w:w="2985" w:type="dxa"/>
            <w:noWrap w:val="0"/>
            <w:vAlign w:val="top"/>
          </w:tcPr>
          <w:p w14:paraId="5640670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1.</w:t>
            </w:r>
            <w:r>
              <w:rPr>
                <w:rFonts w:hint="eastAsia" w:ascii="仿宋" w:hAnsi="仿宋" w:eastAsia="仿宋" w:cs="仿宋"/>
                <w:color w:val="auto"/>
                <w:position w:val="-1"/>
                <w:sz w:val="24"/>
                <w:szCs w:val="24"/>
              </w:rPr>
              <w:t>地面保洁</w:t>
            </w:r>
          </w:p>
          <w:p w14:paraId="218249E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地面每日清扫、拖洗至少两次，且巡回保洁。对于木地板场地，使用专用木地板清洁剂与软质拖把，避免刮伤地板；塑胶地板采用中性清洁剂，定期进行深度清洁与保养，保持地板色泽鲜艳、弹性良好</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定期对地面进行打蜡抛光处理，每月至少一次，提升地面光泽度与防滑性能</w:t>
            </w:r>
            <w:r>
              <w:rPr>
                <w:rFonts w:hint="eastAsia" w:ascii="仿宋" w:hAnsi="仿宋" w:eastAsia="仿宋" w:cs="仿宋"/>
                <w:color w:val="auto"/>
                <w:position w:val="-1"/>
                <w:sz w:val="24"/>
                <w:szCs w:val="24"/>
                <w:lang w:eastAsia="zh-CN"/>
              </w:rPr>
              <w:t>。</w:t>
            </w:r>
          </w:p>
          <w:p w14:paraId="41A7EB4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lang w:eastAsia="zh-CN"/>
              </w:rPr>
              <w:t>墙</w:t>
            </w:r>
            <w:r>
              <w:rPr>
                <w:rFonts w:hint="eastAsia" w:ascii="仿宋" w:hAnsi="仿宋" w:eastAsia="仿宋" w:cs="仿宋"/>
                <w:color w:val="auto"/>
                <w:position w:val="-1"/>
                <w:sz w:val="24"/>
                <w:szCs w:val="24"/>
              </w:rPr>
              <w:t>面保洁</w:t>
            </w:r>
          </w:p>
          <w:p w14:paraId="532A5FD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墙面每周擦拭一次，重点清理手印、球印等污渍，保持墙面干净整洁</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对于有特殊装饰或材质的墙面，如玻璃幕墙、木质装饰板等，根据材质选用合适的清洁方法与材料，避免损伤墙面</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天花板</w:t>
            </w:r>
            <w:r>
              <w:rPr>
                <w:rFonts w:hint="eastAsia" w:ascii="仿宋" w:hAnsi="仿宋" w:eastAsia="仿宋" w:cs="仿宋"/>
                <w:color w:val="auto"/>
                <w:position w:val="-1"/>
                <w:sz w:val="24"/>
                <w:szCs w:val="24"/>
                <w:lang w:eastAsia="zh-CN"/>
              </w:rPr>
              <w:t>、灯具</w:t>
            </w:r>
            <w:r>
              <w:rPr>
                <w:rFonts w:hint="eastAsia" w:ascii="仿宋" w:hAnsi="仿宋" w:eastAsia="仿宋" w:cs="仿宋"/>
                <w:color w:val="auto"/>
                <w:position w:val="-1"/>
                <w:sz w:val="24"/>
                <w:szCs w:val="24"/>
              </w:rPr>
              <w:t>每月清洁一次</w:t>
            </w:r>
            <w:r>
              <w:rPr>
                <w:rFonts w:hint="eastAsia" w:ascii="仿宋" w:hAnsi="仿宋" w:eastAsia="仿宋" w:cs="仿宋"/>
                <w:color w:val="auto"/>
                <w:position w:val="-1"/>
                <w:sz w:val="24"/>
                <w:szCs w:val="24"/>
                <w:lang w:eastAsia="zh-CN"/>
              </w:rPr>
              <w:t>。</w:t>
            </w:r>
          </w:p>
          <w:p w14:paraId="09D84F1A">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3.</w:t>
            </w:r>
            <w:r>
              <w:rPr>
                <w:rFonts w:hint="eastAsia" w:ascii="仿宋" w:hAnsi="仿宋" w:eastAsia="仿宋" w:cs="仿宋"/>
                <w:color w:val="auto"/>
                <w:position w:val="-1"/>
                <w:sz w:val="24"/>
                <w:szCs w:val="24"/>
              </w:rPr>
              <w:t>设施设备保洁</w:t>
            </w:r>
          </w:p>
          <w:p w14:paraId="52CF0A5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体育器材、训练器械每日使用后及时擦拭清洁，每周进行一次深度清洁与消毒</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通风设备、空调滤网每季度清洗一次，确保空气质量达标</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灯具定期清洁。</w:t>
            </w:r>
          </w:p>
          <w:p w14:paraId="7725D6F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4.</w:t>
            </w:r>
            <w:r>
              <w:rPr>
                <w:rFonts w:hint="eastAsia" w:ascii="仿宋" w:hAnsi="仿宋" w:eastAsia="仿宋" w:cs="仿宋"/>
                <w:color w:val="auto"/>
                <w:position w:val="-1"/>
                <w:sz w:val="24"/>
                <w:szCs w:val="24"/>
              </w:rPr>
              <w:t>卫生间保洁</w:t>
            </w:r>
          </w:p>
          <w:p w14:paraId="3C1910F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每日</w:t>
            </w:r>
            <w:r>
              <w:rPr>
                <w:rFonts w:hint="eastAsia" w:ascii="仿宋" w:hAnsi="仿宋" w:eastAsia="仿宋" w:cs="仿宋"/>
                <w:color w:val="auto"/>
                <w:position w:val="-1"/>
                <w:sz w:val="24"/>
                <w:szCs w:val="24"/>
                <w:lang w:eastAsia="zh-CN"/>
              </w:rPr>
              <w:t>对卫生间保洁</w:t>
            </w:r>
            <w:r>
              <w:rPr>
                <w:rFonts w:hint="eastAsia" w:ascii="仿宋" w:hAnsi="仿宋" w:eastAsia="仿宋" w:cs="仿宋"/>
                <w:color w:val="auto"/>
                <w:position w:val="-1"/>
                <w:sz w:val="24"/>
                <w:szCs w:val="24"/>
                <w:lang w:val="en-US" w:eastAsia="zh-CN"/>
              </w:rPr>
              <w:t>1次，</w:t>
            </w:r>
            <w:r>
              <w:rPr>
                <w:rFonts w:hint="eastAsia" w:ascii="仿宋" w:hAnsi="仿宋" w:eastAsia="仿宋" w:cs="仿宋"/>
                <w:color w:val="auto"/>
                <w:position w:val="-1"/>
                <w:sz w:val="24"/>
                <w:szCs w:val="24"/>
              </w:rPr>
              <w:t>且巡回保洁</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lang w:eastAsia="zh-CN"/>
              </w:rPr>
              <w:t>及时</w:t>
            </w:r>
            <w:r>
              <w:rPr>
                <w:rFonts w:hint="eastAsia" w:ascii="仿宋" w:hAnsi="仿宋" w:eastAsia="仿宋" w:cs="仿宋"/>
                <w:color w:val="auto"/>
                <w:position w:val="-1"/>
                <w:sz w:val="24"/>
                <w:szCs w:val="24"/>
              </w:rPr>
              <w:t>更换垃圾袋</w:t>
            </w:r>
            <w:r>
              <w:rPr>
                <w:rFonts w:hint="eastAsia" w:ascii="仿宋" w:hAnsi="仿宋" w:eastAsia="仿宋" w:cs="仿宋"/>
                <w:color w:val="auto"/>
                <w:position w:val="-1"/>
                <w:sz w:val="24"/>
                <w:szCs w:val="24"/>
                <w:lang w:eastAsia="zh-CN"/>
              </w:rPr>
              <w:t>；定期对</w:t>
            </w:r>
            <w:r>
              <w:rPr>
                <w:rFonts w:hint="eastAsia" w:ascii="仿宋" w:hAnsi="仿宋" w:eastAsia="仿宋" w:cs="仿宋"/>
                <w:color w:val="auto"/>
                <w:position w:val="-1"/>
                <w:sz w:val="24"/>
                <w:szCs w:val="24"/>
              </w:rPr>
              <w:t>门把手、水龙头、马桶按钮等高频接触部位进行</w:t>
            </w:r>
            <w:r>
              <w:rPr>
                <w:rFonts w:hint="eastAsia" w:ascii="仿宋" w:hAnsi="仿宋" w:eastAsia="仿宋" w:cs="仿宋"/>
                <w:color w:val="auto"/>
                <w:position w:val="-1"/>
                <w:sz w:val="24"/>
                <w:szCs w:val="24"/>
                <w:lang w:eastAsia="zh-CN"/>
              </w:rPr>
              <w:t>擦拭</w:t>
            </w:r>
            <w:r>
              <w:rPr>
                <w:rFonts w:hint="eastAsia" w:ascii="仿宋" w:hAnsi="仿宋" w:eastAsia="仿宋" w:cs="仿宋"/>
                <w:color w:val="auto"/>
                <w:position w:val="-1"/>
                <w:sz w:val="24"/>
                <w:szCs w:val="24"/>
              </w:rPr>
              <w:t>。</w:t>
            </w:r>
          </w:p>
        </w:tc>
        <w:tc>
          <w:tcPr>
            <w:tcW w:w="2846" w:type="dxa"/>
            <w:noWrap w:val="0"/>
            <w:vAlign w:val="top"/>
          </w:tcPr>
          <w:p w14:paraId="2F153480">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1.</w:t>
            </w:r>
            <w:r>
              <w:rPr>
                <w:rFonts w:hint="eastAsia" w:ascii="仿宋" w:hAnsi="仿宋" w:eastAsia="仿宋" w:cs="仿宋"/>
                <w:color w:val="auto"/>
                <w:position w:val="-1"/>
                <w:sz w:val="24"/>
                <w:szCs w:val="24"/>
              </w:rPr>
              <w:t>地面保洁</w:t>
            </w:r>
          </w:p>
          <w:p w14:paraId="4BE296F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地面每日清扫、拖洗至少两次，保持地面无灰尘、无污渍、无脚印。对于木地板场地，保持地板色泽鲜艳、弹性良好</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延长场地使用寿命。</w:t>
            </w:r>
          </w:p>
          <w:p w14:paraId="268348A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lang w:eastAsia="zh-CN"/>
              </w:rPr>
              <w:t>墙</w:t>
            </w:r>
            <w:r>
              <w:rPr>
                <w:rFonts w:hint="eastAsia" w:ascii="仿宋" w:hAnsi="仿宋" w:eastAsia="仿宋" w:cs="仿宋"/>
                <w:color w:val="auto"/>
                <w:position w:val="-1"/>
                <w:sz w:val="24"/>
                <w:szCs w:val="24"/>
              </w:rPr>
              <w:t>面保洁</w:t>
            </w:r>
          </w:p>
          <w:p w14:paraId="3D3DD649">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eastAsia="zh-CN"/>
              </w:rPr>
              <w:t>无</w:t>
            </w:r>
            <w:r>
              <w:rPr>
                <w:rFonts w:hint="eastAsia" w:ascii="仿宋" w:hAnsi="仿宋" w:eastAsia="仿宋" w:cs="仿宋"/>
                <w:color w:val="auto"/>
                <w:position w:val="-1"/>
                <w:sz w:val="24"/>
                <w:szCs w:val="24"/>
              </w:rPr>
              <w:t>手印、</w:t>
            </w:r>
            <w:r>
              <w:rPr>
                <w:rFonts w:hint="eastAsia" w:ascii="仿宋" w:hAnsi="仿宋" w:eastAsia="仿宋" w:cs="仿宋"/>
                <w:color w:val="auto"/>
                <w:position w:val="-1"/>
                <w:sz w:val="24"/>
                <w:szCs w:val="24"/>
                <w:lang w:eastAsia="zh-CN"/>
              </w:rPr>
              <w:t>无</w:t>
            </w:r>
            <w:r>
              <w:rPr>
                <w:rFonts w:hint="eastAsia" w:ascii="仿宋" w:hAnsi="仿宋" w:eastAsia="仿宋" w:cs="仿宋"/>
                <w:color w:val="auto"/>
                <w:position w:val="-1"/>
                <w:sz w:val="24"/>
                <w:szCs w:val="24"/>
              </w:rPr>
              <w:t>球印</w:t>
            </w:r>
            <w:r>
              <w:rPr>
                <w:rFonts w:hint="eastAsia" w:ascii="仿宋" w:hAnsi="仿宋" w:eastAsia="仿宋" w:cs="仿宋"/>
                <w:color w:val="auto"/>
                <w:position w:val="-1"/>
                <w:sz w:val="24"/>
                <w:szCs w:val="24"/>
                <w:lang w:eastAsia="zh-CN"/>
              </w:rPr>
              <w:t>、无</w:t>
            </w:r>
            <w:r>
              <w:rPr>
                <w:rFonts w:hint="eastAsia" w:ascii="仿宋" w:hAnsi="仿宋" w:eastAsia="仿宋" w:cs="仿宋"/>
                <w:color w:val="auto"/>
                <w:position w:val="-1"/>
                <w:sz w:val="24"/>
                <w:szCs w:val="24"/>
              </w:rPr>
              <w:t>污渍，保持墙面干净整洁</w:t>
            </w:r>
            <w:r>
              <w:rPr>
                <w:rFonts w:hint="eastAsia" w:ascii="仿宋" w:hAnsi="仿宋" w:eastAsia="仿宋" w:cs="仿宋"/>
                <w:color w:val="auto"/>
                <w:position w:val="-1"/>
                <w:sz w:val="24"/>
                <w:szCs w:val="24"/>
                <w:lang w:eastAsia="zh-CN"/>
              </w:rPr>
              <w:t>；无</w:t>
            </w:r>
            <w:r>
              <w:rPr>
                <w:rFonts w:hint="eastAsia" w:ascii="仿宋" w:hAnsi="仿宋" w:eastAsia="仿宋" w:cs="仿宋"/>
                <w:color w:val="auto"/>
                <w:position w:val="-1"/>
                <w:sz w:val="24"/>
                <w:szCs w:val="24"/>
              </w:rPr>
              <w:t>蜘蛛网、</w:t>
            </w:r>
            <w:r>
              <w:rPr>
                <w:rFonts w:hint="eastAsia" w:ascii="仿宋" w:hAnsi="仿宋" w:eastAsia="仿宋" w:cs="仿宋"/>
                <w:color w:val="auto"/>
                <w:position w:val="-1"/>
                <w:sz w:val="24"/>
                <w:szCs w:val="24"/>
                <w:lang w:eastAsia="zh-CN"/>
              </w:rPr>
              <w:t>无</w:t>
            </w:r>
            <w:r>
              <w:rPr>
                <w:rFonts w:hint="eastAsia" w:ascii="仿宋" w:hAnsi="仿宋" w:eastAsia="仿宋" w:cs="仿宋"/>
                <w:color w:val="auto"/>
                <w:position w:val="-1"/>
                <w:sz w:val="24"/>
                <w:szCs w:val="24"/>
              </w:rPr>
              <w:t>灰尘堆积等，确保通风口、灯具等部位无积尘。</w:t>
            </w:r>
          </w:p>
          <w:p w14:paraId="5CBC2E6A">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3.</w:t>
            </w:r>
            <w:r>
              <w:rPr>
                <w:rFonts w:hint="eastAsia" w:ascii="仿宋" w:hAnsi="仿宋" w:eastAsia="仿宋" w:cs="仿宋"/>
                <w:color w:val="auto"/>
                <w:position w:val="-1"/>
                <w:sz w:val="24"/>
                <w:szCs w:val="24"/>
              </w:rPr>
              <w:t>设施设备保洁</w:t>
            </w:r>
          </w:p>
          <w:p w14:paraId="0949E5C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体育器材、训练器械</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器材表面无汗渍、无细菌滋生</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确保空气质量达标</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灯具保持灯罩明亮，无灰尘遮挡光线。</w:t>
            </w:r>
          </w:p>
          <w:p w14:paraId="32DE904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lang w:val="en-US" w:eastAsia="zh-CN"/>
              </w:rPr>
              <w:t>4.</w:t>
            </w:r>
            <w:r>
              <w:rPr>
                <w:rFonts w:hint="eastAsia" w:ascii="仿宋" w:hAnsi="仿宋" w:eastAsia="仿宋" w:cs="仿宋"/>
                <w:color w:val="auto"/>
                <w:position w:val="-1"/>
                <w:sz w:val="24"/>
                <w:szCs w:val="24"/>
              </w:rPr>
              <w:t>卫生间保洁</w:t>
            </w:r>
          </w:p>
          <w:p w14:paraId="2E16515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eastAsia="zh-CN"/>
              </w:rPr>
            </w:pPr>
            <w:r>
              <w:rPr>
                <w:rFonts w:hint="eastAsia" w:ascii="仿宋" w:hAnsi="仿宋" w:eastAsia="仿宋" w:cs="仿宋"/>
                <w:color w:val="auto"/>
                <w:position w:val="-1"/>
                <w:sz w:val="24"/>
                <w:szCs w:val="24"/>
              </w:rPr>
              <w:t>地面无积水、无污渍，厕位、洗手台干净整洁，无异味</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门把手、水龙头、马桶按钮</w:t>
            </w:r>
            <w:r>
              <w:rPr>
                <w:rFonts w:hint="eastAsia" w:ascii="仿宋" w:hAnsi="仿宋" w:eastAsia="仿宋" w:cs="仿宋"/>
                <w:color w:val="auto"/>
                <w:position w:val="-1"/>
                <w:sz w:val="24"/>
                <w:szCs w:val="24"/>
                <w:lang w:eastAsia="zh-CN"/>
              </w:rPr>
              <w:t>无水渍、无污渍。</w:t>
            </w:r>
          </w:p>
          <w:p w14:paraId="21D5E3F3">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r>
      <w:tr w14:paraId="6CEA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restart"/>
            <w:noWrap w:val="0"/>
            <w:vAlign w:val="center"/>
          </w:tcPr>
          <w:p w14:paraId="53AC3F4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eastAsia="zh-CN"/>
              </w:rPr>
              <w:t>体育馆办公区域</w:t>
            </w:r>
            <w:r>
              <w:rPr>
                <w:rFonts w:hint="eastAsia" w:ascii="仿宋" w:hAnsi="仿宋" w:eastAsia="仿宋" w:cs="仿宋"/>
                <w:color w:val="auto"/>
                <w:position w:val="-1"/>
                <w:sz w:val="24"/>
                <w:szCs w:val="24"/>
                <w:lang w:val="en-US" w:eastAsia="zh-CN"/>
              </w:rPr>
              <w:t>(含训练室）</w:t>
            </w:r>
          </w:p>
        </w:tc>
        <w:tc>
          <w:tcPr>
            <w:tcW w:w="2088" w:type="dxa"/>
            <w:noWrap w:val="0"/>
            <w:vAlign w:val="top"/>
          </w:tcPr>
          <w:p w14:paraId="2225638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zh-CN"/>
              </w:rPr>
              <w:t>1</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lang w:val="zh-CN"/>
              </w:rPr>
              <w:t>大厅、楼道：地面、墙面、踢脚线、台阶、天棚、装饰门及门套、宣传窗、垃圾桶、消防设施、配电箱、灯具装饰柱、植物花盆。</w:t>
            </w:r>
          </w:p>
        </w:tc>
        <w:tc>
          <w:tcPr>
            <w:tcW w:w="2985" w:type="dxa"/>
            <w:noWrap w:val="0"/>
            <w:vAlign w:val="top"/>
          </w:tcPr>
          <w:p w14:paraId="6856AF5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地面、台阶、宣传窗、垃圾桶、装饰柱、装饰门及门套、踢脚线、植物花盆等每周保洁1次，用时巡回保洁；墙面、天棚、消防设施、配电箱、灯具每二周保洁1次大理石（花岗岩）每半年打蜡1次，每两月抛光1次。</w:t>
            </w:r>
          </w:p>
        </w:tc>
        <w:tc>
          <w:tcPr>
            <w:tcW w:w="2846" w:type="dxa"/>
            <w:noWrap w:val="0"/>
            <w:vAlign w:val="top"/>
          </w:tcPr>
          <w:p w14:paraId="56449385">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地面无水渍、无污渍，无垃圾，无积尘，光亮墙面无灰尘、无污渍，光亮，墙角无蜘蛛网，公共设施表面无积尘、无污渍、光亮不锈钢表面无手印，无积尘，无污渍、光亮；玻璃上无手印，无积尘，无污渍、明亮植物花盆无积尘，无污渍。</w:t>
            </w:r>
          </w:p>
        </w:tc>
      </w:tr>
      <w:tr w14:paraId="63F8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46F6E94E">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0036F18B">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2</w:t>
            </w:r>
            <w:r>
              <w:rPr>
                <w:rFonts w:hint="eastAsia" w:ascii="仿宋" w:hAnsi="仿宋" w:eastAsia="仿宋" w:cs="仿宋"/>
                <w:color w:val="auto"/>
                <w:position w:val="-1"/>
                <w:sz w:val="24"/>
                <w:szCs w:val="24"/>
                <w:lang w:val="en-US" w:eastAsia="zh-CN"/>
              </w:rPr>
              <w:t>.</w:t>
            </w:r>
            <w:r>
              <w:rPr>
                <w:rFonts w:hint="eastAsia" w:ascii="仿宋" w:hAnsi="仿宋" w:eastAsia="仿宋" w:cs="仿宋"/>
                <w:color w:val="auto"/>
                <w:position w:val="-1"/>
                <w:sz w:val="24"/>
                <w:szCs w:val="24"/>
              </w:rPr>
              <w:t>公共卫生间：地面、地漏、墙面、天棚、踢脚线、大小便器、垃圾篓、洗手盆、台面、镜子、门窗标牌、灯具、排气扇、上下水管道、水龙头。</w:t>
            </w:r>
          </w:p>
        </w:tc>
        <w:tc>
          <w:tcPr>
            <w:tcW w:w="2985" w:type="dxa"/>
            <w:noWrap w:val="0"/>
            <w:vAlign w:val="top"/>
          </w:tcPr>
          <w:p w14:paraId="1F7D2787">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每</w:t>
            </w:r>
            <w:r>
              <w:rPr>
                <w:rFonts w:hint="eastAsia" w:ascii="仿宋" w:hAnsi="仿宋" w:eastAsia="仿宋" w:cs="仿宋"/>
                <w:color w:val="auto"/>
                <w:position w:val="-1"/>
                <w:sz w:val="24"/>
                <w:szCs w:val="24"/>
                <w:lang w:eastAsia="zh-CN"/>
              </w:rPr>
              <w:t>天</w:t>
            </w:r>
            <w:r>
              <w:rPr>
                <w:rFonts w:hint="eastAsia" w:ascii="仿宋" w:hAnsi="仿宋" w:eastAsia="仿宋" w:cs="仿宋"/>
                <w:color w:val="auto"/>
                <w:position w:val="-1"/>
                <w:sz w:val="24"/>
                <w:szCs w:val="24"/>
                <w:lang w:val="en-US" w:eastAsia="zh-CN"/>
              </w:rPr>
              <w:t>2</w:t>
            </w:r>
            <w:r>
              <w:rPr>
                <w:rFonts w:hint="eastAsia" w:ascii="仿宋" w:hAnsi="仿宋" w:eastAsia="仿宋" w:cs="仿宋"/>
                <w:color w:val="auto"/>
                <w:position w:val="-1"/>
                <w:sz w:val="24"/>
                <w:szCs w:val="24"/>
              </w:rPr>
              <w:t>次对卫生间全面保洁</w:t>
            </w:r>
            <w:r>
              <w:rPr>
                <w:rFonts w:hint="eastAsia" w:ascii="仿宋" w:hAnsi="仿宋" w:eastAsia="仿宋" w:cs="仿宋"/>
                <w:color w:val="auto"/>
                <w:position w:val="-1"/>
                <w:sz w:val="24"/>
                <w:szCs w:val="24"/>
                <w:lang w:eastAsia="zh-CN"/>
              </w:rPr>
              <w:t>；</w:t>
            </w:r>
            <w:r>
              <w:rPr>
                <w:rFonts w:hint="eastAsia" w:ascii="仿宋" w:hAnsi="仿宋" w:eastAsia="仿宋" w:cs="仿宋"/>
                <w:color w:val="auto"/>
                <w:position w:val="-1"/>
                <w:sz w:val="24"/>
                <w:szCs w:val="24"/>
              </w:rPr>
              <w:t>开水房及卫生间地漏每周清理1次；天棚、灯具、窗玻璃排气扇每周保洁1次。</w:t>
            </w:r>
          </w:p>
        </w:tc>
        <w:tc>
          <w:tcPr>
            <w:tcW w:w="2846" w:type="dxa"/>
            <w:noWrap w:val="0"/>
            <w:vAlign w:val="top"/>
          </w:tcPr>
          <w:p w14:paraId="324F9698">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rPr>
              <w:t>卫生间无异味，有熏香樟脑丸等洁厕物品、厕坑便具洁净无污物、无黄渍、镜面、水盆、台面、水龙头无污点，光亮；纸篓加装垃圾袋并随时清理；墙面、天棚、墙角、灯具无积尘、蜘蛛网，光亮；地面无水渍、无污渍，无垃圾，保洁工具与保洁用品要统一放在指定地点。</w:t>
            </w:r>
          </w:p>
        </w:tc>
      </w:tr>
      <w:tr w14:paraId="60DF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2" w:type="dxa"/>
            <w:vMerge w:val="continue"/>
            <w:noWrap w:val="0"/>
            <w:vAlign w:val="center"/>
          </w:tcPr>
          <w:p w14:paraId="376D012D">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c>
          <w:tcPr>
            <w:tcW w:w="2088" w:type="dxa"/>
            <w:noWrap w:val="0"/>
            <w:vAlign w:val="top"/>
          </w:tcPr>
          <w:p w14:paraId="7054EAEF">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lang w:val="en-US" w:eastAsia="zh-CN"/>
              </w:rPr>
            </w:pPr>
            <w:r>
              <w:rPr>
                <w:rFonts w:hint="eastAsia" w:ascii="仿宋" w:hAnsi="仿宋" w:eastAsia="仿宋" w:cs="仿宋"/>
                <w:color w:val="auto"/>
                <w:position w:val="-1"/>
                <w:sz w:val="24"/>
                <w:szCs w:val="24"/>
                <w:lang w:val="en-US" w:eastAsia="zh-CN"/>
              </w:rPr>
              <w:t>3.跆拳道教室、舞蹈室及乒乓球教室</w:t>
            </w:r>
          </w:p>
        </w:tc>
        <w:tc>
          <w:tcPr>
            <w:tcW w:w="2985" w:type="dxa"/>
            <w:noWrap w:val="0"/>
            <w:vAlign w:val="top"/>
          </w:tcPr>
          <w:p w14:paraId="4F50832C">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r>
              <w:rPr>
                <w:rFonts w:hint="eastAsia" w:ascii="仿宋" w:hAnsi="仿宋" w:eastAsia="仿宋" w:cs="仿宋"/>
                <w:color w:val="auto"/>
                <w:position w:val="-1"/>
                <w:sz w:val="24"/>
                <w:szCs w:val="24"/>
              </w:rPr>
              <w:t>每日早、中、晚共3次并巡回保洁；天棚、灯具、设备每周1次；门窗玻璃每两周1次。</w:t>
            </w:r>
          </w:p>
        </w:tc>
        <w:tc>
          <w:tcPr>
            <w:tcW w:w="2846" w:type="dxa"/>
            <w:noWrap w:val="0"/>
            <w:vAlign w:val="top"/>
          </w:tcPr>
          <w:p w14:paraId="0EAC8816">
            <w:pPr>
              <w:pageBreakBefore w:val="0"/>
              <w:kinsoku/>
              <w:wordWrap/>
              <w:overflowPunct/>
              <w:topLinePunct w:val="0"/>
              <w:autoSpaceDE/>
              <w:autoSpaceDN/>
              <w:bidi w:val="0"/>
              <w:spacing w:line="360" w:lineRule="auto"/>
              <w:ind w:left="0" w:leftChars="0" w:right="0"/>
              <w:rPr>
                <w:rFonts w:hint="eastAsia" w:ascii="仿宋" w:hAnsi="仿宋" w:eastAsia="仿宋" w:cs="仿宋"/>
                <w:color w:val="auto"/>
                <w:position w:val="-1"/>
                <w:sz w:val="24"/>
                <w:szCs w:val="24"/>
              </w:rPr>
            </w:pPr>
          </w:p>
        </w:tc>
      </w:tr>
    </w:tbl>
    <w:p w14:paraId="7468C1E1">
      <w:pPr>
        <w:pageBreakBefore w:val="0"/>
        <w:tabs>
          <w:tab w:val="left" w:pos="424"/>
        </w:tabs>
        <w:kinsoku/>
        <w:wordWrap/>
        <w:overflowPunct/>
        <w:topLinePunct w:val="0"/>
        <w:autoSpaceDE/>
        <w:autoSpaceDN/>
        <w:bidi w:val="0"/>
        <w:spacing w:line="360" w:lineRule="auto"/>
        <w:ind w:right="0"/>
        <w:rPr>
          <w:rFonts w:hint="eastAsia" w:ascii="仿宋" w:hAnsi="仿宋" w:eastAsia="仿宋" w:cs="仿宋"/>
          <w:bCs/>
          <w:color w:val="auto"/>
          <w:sz w:val="28"/>
          <w:szCs w:val="28"/>
        </w:rPr>
      </w:pPr>
      <w:r>
        <w:rPr>
          <w:rFonts w:hint="eastAsia" w:ascii="仿宋" w:hAnsi="仿宋" w:eastAsia="仿宋" w:cs="仿宋"/>
          <w:bCs/>
          <w:color w:val="auto"/>
          <w:sz w:val="28"/>
          <w:szCs w:val="28"/>
        </w:rPr>
        <w:t>注：楼宇玻璃及幕墙每年清洁</w:t>
      </w:r>
      <w:r>
        <w:rPr>
          <w:rFonts w:hint="eastAsia" w:ascii="仿宋" w:hAnsi="仿宋" w:eastAsia="仿宋" w:cs="仿宋"/>
          <w:bCs/>
          <w:color w:val="auto"/>
          <w:sz w:val="28"/>
          <w:szCs w:val="28"/>
          <w:lang w:val="en-US" w:eastAsia="zh-CN"/>
        </w:rPr>
        <w:t>至少</w:t>
      </w:r>
      <w:r>
        <w:rPr>
          <w:rFonts w:hint="eastAsia" w:ascii="仿宋" w:hAnsi="仿宋" w:eastAsia="仿宋" w:cs="仿宋"/>
          <w:bCs/>
          <w:color w:val="auto"/>
          <w:sz w:val="28"/>
          <w:szCs w:val="28"/>
        </w:rPr>
        <w:t>1次</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如遇</w:t>
      </w:r>
      <w:r>
        <w:rPr>
          <w:rFonts w:hint="eastAsia" w:ascii="仿宋" w:hAnsi="仿宋" w:eastAsia="仿宋" w:cs="仿宋"/>
          <w:bCs/>
          <w:color w:val="auto"/>
          <w:sz w:val="28"/>
          <w:szCs w:val="28"/>
        </w:rPr>
        <w:t>重大节庆，根据学校工作要求进行保洁服务。</w:t>
      </w:r>
    </w:p>
    <w:p w14:paraId="408606C5">
      <w:pPr>
        <w:pStyle w:val="9"/>
        <w:pageBreakBefore w:val="0"/>
        <w:tabs>
          <w:tab w:val="left" w:pos="840"/>
        </w:tabs>
        <w:kinsoku/>
        <w:wordWrap/>
        <w:overflowPunct/>
        <w:topLinePunct w:val="0"/>
        <w:autoSpaceDE/>
        <w:autoSpaceDN/>
        <w:bidi w:val="0"/>
        <w:spacing w:before="0" w:after="0" w:line="360" w:lineRule="auto"/>
        <w:ind w:left="0" w:leftChars="0" w:right="0" w:firstLine="562" w:firstLineChars="200"/>
        <w:jc w:val="both"/>
        <w:outlineLvl w:val="3"/>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）其它服务要求</w:t>
      </w:r>
      <w:bookmarkEnd w:id="563"/>
    </w:p>
    <w:p w14:paraId="0A75F2C4">
      <w:pPr>
        <w:pageBreakBefore w:val="0"/>
        <w:tabs>
          <w:tab w:val="left" w:pos="424"/>
        </w:tabs>
        <w:kinsoku/>
        <w:wordWrap/>
        <w:overflowPunct/>
        <w:topLinePunct w:val="0"/>
        <w:autoSpaceDE/>
        <w:autoSpaceDN/>
        <w:bidi w:val="0"/>
        <w:spacing w:line="360" w:lineRule="auto"/>
        <w:ind w:left="0" w:leftChars="0" w:right="0" w:firstLine="560"/>
        <w:rPr>
          <w:rFonts w:hint="eastAsia" w:ascii="仿宋" w:hAnsi="仿宋" w:eastAsia="仿宋" w:cs="仿宋"/>
          <w:b/>
          <w:color w:val="auto"/>
          <w:sz w:val="28"/>
          <w:szCs w:val="28"/>
        </w:rPr>
      </w:pPr>
      <w:r>
        <w:rPr>
          <w:rFonts w:hint="eastAsia" w:ascii="仿宋" w:hAnsi="仿宋" w:eastAsia="仿宋" w:cs="仿宋"/>
          <w:b/>
          <w:color w:val="auto"/>
          <w:sz w:val="28"/>
          <w:szCs w:val="28"/>
        </w:rPr>
        <w:t>1.公共区域</w:t>
      </w:r>
    </w:p>
    <w:p w14:paraId="2FF6A58F">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①楼梯台阶、地面、踢脚线及楼宇周围地面：干净、无杂草、无积水、无污渍、无痰迹、无垃圾、保持地面材质原貌，楼道内无长明灯，无长流水；</w:t>
      </w:r>
    </w:p>
    <w:p w14:paraId="1DBD7D0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②地面：无脚印、无污渍、无痰迹、无垃圾、保持地面材质原貌；</w:t>
      </w:r>
    </w:p>
    <w:p w14:paraId="64667AA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③玻璃门、窗：光亮干净、无积尘、无印渍；</w:t>
      </w:r>
    </w:p>
    <w:p w14:paraId="788A8E0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④墙面、台面、灯座、宣传标示栏、附属设施及外围墙面：光亮、整洁、无积尘、无污垢、无印渍；</w:t>
      </w:r>
    </w:p>
    <w:p w14:paraId="08656EA4">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⑤扶手、栏杆、挡板：无积尘、光洁、明亮；</w:t>
      </w:r>
    </w:p>
    <w:p w14:paraId="24B611B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⑥空间：空气流通、清新；</w:t>
      </w:r>
    </w:p>
    <w:p w14:paraId="347DEE7F">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⑦行政楼、教学楼等有教学和办公功能的楼宇公共区域垃圾分类桶：清洁光亮、无污渍、烟灰及垃圾不超过容器的2/3；学生公寓公共区域垃圾分类桶内垃圾不超过容器的2/3，夏季2天清洗1次，冬季1周清洗1次，摆放整齐；</w:t>
      </w:r>
    </w:p>
    <w:p w14:paraId="37D262FD">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⑧花板保洁：无积尘、无蜘蛛网；</w:t>
      </w:r>
    </w:p>
    <w:p w14:paraId="3267C55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⑨照明保洁：灯管无积尘、灯盖、灯罩明亮清洁；</w:t>
      </w:r>
    </w:p>
    <w:p w14:paraId="5D46AF96">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⑩走廊墙面、挂物及木质装饰材料：无积尘、无污垢，走廊内无自行车及其他堆放物品；</w:t>
      </w:r>
    </w:p>
    <w:p w14:paraId="560C9DCD">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微软雅黑" w:hAnsi="微软雅黑" w:eastAsia="微软雅黑" w:cs="微软雅黑"/>
          <w:bCs/>
          <w:color w:val="auto"/>
          <w:sz w:val="28"/>
          <w:szCs w:val="28"/>
          <w:lang w:eastAsia="zh-CN"/>
        </w:rPr>
        <w:t>⑪</w:t>
      </w:r>
      <w:r>
        <w:rPr>
          <w:rFonts w:hint="eastAsia" w:ascii="仿宋" w:hAnsi="仿宋" w:eastAsia="仿宋" w:cs="仿宋"/>
          <w:bCs/>
          <w:color w:val="auto"/>
          <w:sz w:val="28"/>
          <w:szCs w:val="28"/>
        </w:rPr>
        <w:t>天台、屋顶每周清扫1次，天台、雨篷：无杂物、无杂草、垃圾堆积、纸屑、排水口畅通；</w:t>
      </w:r>
    </w:p>
    <w:p w14:paraId="3B91EA2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⑫定期检查安全门并保持通畅；</w:t>
      </w:r>
    </w:p>
    <w:p w14:paraId="1655BB38">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⑬每年定期和根据季节在学生公寓、行政楼、教学楼等公共区域</w:t>
      </w:r>
      <w:r>
        <w:rPr>
          <w:rFonts w:hint="eastAsia" w:ascii="仿宋" w:hAnsi="仿宋" w:eastAsia="仿宋" w:cs="仿宋"/>
          <w:bCs/>
          <w:color w:val="auto"/>
          <w:sz w:val="28"/>
          <w:szCs w:val="28"/>
          <w:lang w:eastAsia="zh-CN"/>
        </w:rPr>
        <w:t>及周边</w:t>
      </w:r>
      <w:r>
        <w:rPr>
          <w:rFonts w:hint="eastAsia" w:ascii="仿宋" w:hAnsi="仿宋" w:eastAsia="仿宋" w:cs="仿宋"/>
          <w:bCs/>
          <w:color w:val="auto"/>
          <w:sz w:val="28"/>
          <w:szCs w:val="28"/>
        </w:rPr>
        <w:t>消杀蝇虫（四月中旬—十月中旬）及灭鼠、灭蟑（每季度一次），每次消杀要做好工作记录，用于消杀的危险物品要有严格详细的管理登记制度，要有详尽的使用登记记录；</w:t>
      </w:r>
    </w:p>
    <w:p w14:paraId="21893DFF">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⑭及时清理公共区域内小广告，干净整洁，无乱涂乱画；</w:t>
      </w:r>
    </w:p>
    <w:p w14:paraId="6D964138">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⑮学生公寓周边防水台每月两次清洁维护，要求无杂物、无垃圾、无杂草；</w:t>
      </w:r>
    </w:p>
    <w:p w14:paraId="4A72388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⑯学生公寓楼内功能房间每天进行保洁，桌椅板凳无积灰、无污渍、无小广告、无涂鸦；墙面地面无积尘、无污渍；玻璃光洁明亮；窗帘、吊扇每年清洗一次；电灯棒每月清洁一次；</w:t>
      </w:r>
    </w:p>
    <w:p w14:paraId="2D57688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⑰公寓阳台地漏每年暑假清理1次。</w:t>
      </w:r>
    </w:p>
    <w:p w14:paraId="042BD24A">
      <w:pPr>
        <w:pageBreakBefore w:val="0"/>
        <w:tabs>
          <w:tab w:val="left" w:pos="424"/>
        </w:tabs>
        <w:kinsoku/>
        <w:wordWrap/>
        <w:overflowPunct/>
        <w:topLinePunct w:val="0"/>
        <w:autoSpaceDE/>
        <w:autoSpaceDN/>
        <w:bidi w:val="0"/>
        <w:spacing w:line="360" w:lineRule="auto"/>
        <w:ind w:left="0" w:leftChars="0" w:right="0" w:firstLine="560"/>
        <w:rPr>
          <w:rFonts w:hint="eastAsia" w:ascii="仿宋" w:hAnsi="仿宋" w:eastAsia="仿宋" w:cs="仿宋"/>
          <w:b/>
          <w:color w:val="auto"/>
          <w:sz w:val="28"/>
          <w:szCs w:val="28"/>
        </w:rPr>
      </w:pPr>
      <w:r>
        <w:rPr>
          <w:rFonts w:hint="eastAsia" w:ascii="仿宋" w:hAnsi="仿宋" w:eastAsia="仿宋" w:cs="仿宋"/>
          <w:b/>
          <w:color w:val="auto"/>
          <w:sz w:val="28"/>
          <w:szCs w:val="28"/>
        </w:rPr>
        <w:t>2.卫生间（含室外公共卫生间）、洗衣间</w:t>
      </w:r>
    </w:p>
    <w:p w14:paraId="4F34424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①门、窗、墙面、天花板：干净、整洁、明亮、无积尘、无污迹；</w:t>
      </w:r>
    </w:p>
    <w:p w14:paraId="2B942F13">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②室内地面、空间：无脚印、无污迹、无水迹、空气流通、无异味；有熏香樟脑丸等洁厕物品；</w:t>
      </w:r>
    </w:p>
    <w:p w14:paraId="775AA88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③便池、尿斗、面盆、镜面：干净、无污迹、无污垢、无异味，污水管及下水道畅通；</w:t>
      </w:r>
    </w:p>
    <w:p w14:paraId="644FE72D">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④水龙头、落水管：光洁、明亮；</w:t>
      </w:r>
    </w:p>
    <w:p w14:paraId="28AD4624">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⑤手纸篓、垃圾筒：日产日清，容积不超过百分之八十；</w:t>
      </w:r>
    </w:p>
    <w:p w14:paraId="4BEFDB6E">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⑥地漏排水畅通；</w:t>
      </w:r>
    </w:p>
    <w:p w14:paraId="4BB6D71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⑦及时清理卫生间内乱涂乱画，无小广告，清理周期不超过24小时</w:t>
      </w:r>
      <w:r>
        <w:rPr>
          <w:rFonts w:hint="eastAsia" w:ascii="仿宋" w:hAnsi="仿宋" w:eastAsia="仿宋" w:cs="仿宋"/>
          <w:bCs/>
          <w:color w:val="auto"/>
          <w:sz w:val="28"/>
          <w:szCs w:val="28"/>
          <w:lang w:eastAsia="zh-CN"/>
        </w:rPr>
        <w:t>；</w:t>
      </w:r>
    </w:p>
    <w:p w14:paraId="145CB851">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⑧</w:t>
      </w:r>
      <w:r>
        <w:rPr>
          <w:rFonts w:hint="eastAsia" w:ascii="仿宋" w:hAnsi="仿宋" w:eastAsia="仿宋" w:cs="仿宋"/>
          <w:bCs/>
          <w:color w:val="auto"/>
          <w:sz w:val="28"/>
          <w:szCs w:val="28"/>
          <w:lang w:eastAsia="zh-CN"/>
        </w:rPr>
        <w:t>东西操场卫生间保洁需要增加夜班。</w:t>
      </w:r>
    </w:p>
    <w:p w14:paraId="72E44892">
      <w:pPr>
        <w:pageBreakBefore w:val="0"/>
        <w:tabs>
          <w:tab w:val="left" w:pos="424"/>
        </w:tabs>
        <w:kinsoku/>
        <w:wordWrap/>
        <w:overflowPunct/>
        <w:topLinePunct w:val="0"/>
        <w:autoSpaceDE/>
        <w:autoSpaceDN/>
        <w:bidi w:val="0"/>
        <w:spacing w:line="360" w:lineRule="auto"/>
        <w:ind w:left="0" w:leftChars="0" w:right="0"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3.教室、教师休息室、会议室</w:t>
      </w:r>
    </w:p>
    <w:p w14:paraId="13B4CE86">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①门、窗、桌椅：干净整洁、无积尘、无纸屑、玻璃干净明亮；窗帘每年暑假清洗一次，有污损随时清洗；</w:t>
      </w:r>
    </w:p>
    <w:p w14:paraId="72BE61BE">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②墙面、墙面悬挂牌、框、墙角、踢脚线、窗帘、天花板：干净整洁、无积尘、无污渍、无蜘蛛网</w:t>
      </w:r>
      <w:r>
        <w:rPr>
          <w:rFonts w:hint="eastAsia" w:ascii="仿宋" w:hAnsi="仿宋" w:eastAsia="仿宋" w:cs="仿宋"/>
          <w:bCs/>
          <w:color w:val="auto"/>
          <w:sz w:val="28"/>
          <w:szCs w:val="28"/>
          <w:lang w:eastAsia="zh-CN"/>
        </w:rPr>
        <w:t>；</w:t>
      </w:r>
    </w:p>
    <w:p w14:paraId="52C0E53C">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③地面干净整洁、无积尘、无纸屑、玻璃干净明亮；</w:t>
      </w:r>
    </w:p>
    <w:p w14:paraId="40969A1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④灯具、电扇、空调：干净、整洁、无积尘、无污渍；</w:t>
      </w:r>
    </w:p>
    <w:p w14:paraId="356289E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⑤室内空间：空气流通、清新；</w:t>
      </w:r>
    </w:p>
    <w:p w14:paraId="11C396ED">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⑥公用教室、会议室：桌椅排列整齐；</w:t>
      </w:r>
    </w:p>
    <w:p w14:paraId="29A391AC">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⑦桌面整洁、无课桌文化，桌斗内无垃圾；</w:t>
      </w:r>
    </w:p>
    <w:p w14:paraId="6B56C0B6">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⑧墙面无印迹，无乱涂</w:t>
      </w:r>
      <w:r>
        <w:rPr>
          <w:rFonts w:hint="eastAsia" w:ascii="仿宋" w:hAnsi="仿宋" w:eastAsia="仿宋" w:cs="仿宋"/>
          <w:bCs/>
          <w:color w:val="auto"/>
          <w:sz w:val="28"/>
          <w:szCs w:val="28"/>
          <w:lang w:val="en-US" w:eastAsia="zh-CN"/>
        </w:rPr>
        <w:t>乱画</w:t>
      </w:r>
      <w:r>
        <w:rPr>
          <w:rFonts w:hint="eastAsia" w:ascii="仿宋" w:hAnsi="仿宋" w:eastAsia="仿宋" w:cs="仿宋"/>
          <w:bCs/>
          <w:color w:val="auto"/>
          <w:sz w:val="28"/>
          <w:szCs w:val="28"/>
        </w:rPr>
        <w:t>；</w:t>
      </w:r>
    </w:p>
    <w:p w14:paraId="17FEA42B">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⑨保洁用品摆放整齐</w:t>
      </w:r>
      <w:r>
        <w:rPr>
          <w:rFonts w:hint="eastAsia" w:ascii="仿宋" w:hAnsi="仿宋" w:eastAsia="仿宋" w:cs="仿宋"/>
          <w:bCs/>
          <w:color w:val="auto"/>
          <w:sz w:val="28"/>
          <w:szCs w:val="28"/>
          <w:lang w:eastAsia="zh-CN"/>
        </w:rPr>
        <w:t>；</w:t>
      </w:r>
    </w:p>
    <w:p w14:paraId="10EEF4F4">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⑩</w:t>
      </w:r>
      <w:r>
        <w:rPr>
          <w:rFonts w:hint="eastAsia" w:ascii="仿宋" w:hAnsi="仿宋" w:eastAsia="仿宋" w:cs="仿宋"/>
          <w:bCs/>
          <w:color w:val="auto"/>
          <w:sz w:val="28"/>
          <w:szCs w:val="28"/>
          <w:highlight w:val="none"/>
          <w:lang w:eastAsia="zh-CN"/>
        </w:rPr>
        <w:t>会议室、教师休息室沙发及地毯每年清洁</w:t>
      </w:r>
      <w:r>
        <w:rPr>
          <w:rFonts w:hint="eastAsia" w:ascii="仿宋" w:hAnsi="仿宋" w:eastAsia="仿宋" w:cs="仿宋"/>
          <w:bCs/>
          <w:color w:val="auto"/>
          <w:sz w:val="28"/>
          <w:szCs w:val="28"/>
          <w:highlight w:val="none"/>
          <w:lang w:val="en-US" w:eastAsia="zh-CN"/>
        </w:rPr>
        <w:t>1次，无污渍，干净整洁，有污渍及时清理；</w:t>
      </w:r>
    </w:p>
    <w:p w14:paraId="76603AB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highlight w:val="none"/>
          <w:lang w:val="en-US" w:eastAsia="zh-CN"/>
        </w:rPr>
      </w:pPr>
      <w:r>
        <w:rPr>
          <w:rFonts w:hint="eastAsia" w:ascii="微软雅黑" w:hAnsi="微软雅黑" w:eastAsia="微软雅黑" w:cs="微软雅黑"/>
          <w:bCs/>
          <w:color w:val="auto"/>
          <w:sz w:val="28"/>
          <w:szCs w:val="28"/>
          <w:lang w:eastAsia="zh-CN"/>
        </w:rPr>
        <w:t>⑪</w:t>
      </w:r>
      <w:r>
        <w:rPr>
          <w:rFonts w:hint="eastAsia" w:ascii="仿宋" w:hAnsi="仿宋" w:eastAsia="仿宋" w:cs="仿宋"/>
          <w:bCs/>
          <w:color w:val="auto"/>
          <w:sz w:val="28"/>
          <w:szCs w:val="28"/>
          <w:highlight w:val="none"/>
          <w:lang w:eastAsia="zh-CN"/>
        </w:rPr>
        <w:t>多媒体教室</w:t>
      </w:r>
      <w:r>
        <w:rPr>
          <w:rFonts w:hint="eastAsia" w:ascii="仿宋" w:hAnsi="仿宋" w:eastAsia="仿宋" w:cs="仿宋"/>
          <w:b w:val="0"/>
          <w:bCs/>
          <w:color w:val="auto"/>
          <w:sz w:val="28"/>
          <w:szCs w:val="28"/>
          <w:highlight w:val="none"/>
          <w:lang w:val="en-US" w:eastAsia="zh-CN"/>
        </w:rPr>
        <w:t>PUC地板及室内运动场馆木质地板</w:t>
      </w:r>
      <w:r>
        <w:rPr>
          <w:rFonts w:hint="eastAsia" w:ascii="仿宋" w:hAnsi="仿宋" w:eastAsia="仿宋" w:cs="仿宋"/>
          <w:bCs/>
          <w:color w:val="auto"/>
          <w:sz w:val="28"/>
          <w:szCs w:val="28"/>
          <w:highlight w:val="none"/>
          <w:lang w:eastAsia="zh-CN"/>
        </w:rPr>
        <w:t>每年深度打蜡清洁保养</w:t>
      </w:r>
      <w:r>
        <w:rPr>
          <w:rFonts w:hint="eastAsia" w:ascii="仿宋" w:hAnsi="仿宋" w:eastAsia="仿宋" w:cs="仿宋"/>
          <w:bCs/>
          <w:color w:val="auto"/>
          <w:sz w:val="28"/>
          <w:szCs w:val="28"/>
          <w:highlight w:val="none"/>
          <w:lang w:val="en-US" w:eastAsia="zh-CN"/>
        </w:rPr>
        <w:t>1次，干净整洁。</w:t>
      </w:r>
    </w:p>
    <w:p w14:paraId="14E7BFAB">
      <w:pPr>
        <w:pageBreakBefore w:val="0"/>
        <w:tabs>
          <w:tab w:val="left" w:pos="424"/>
        </w:tabs>
        <w:kinsoku/>
        <w:wordWrap/>
        <w:overflowPunct/>
        <w:topLinePunct w:val="0"/>
        <w:autoSpaceDE/>
        <w:autoSpaceDN/>
        <w:bidi w:val="0"/>
        <w:spacing w:line="360" w:lineRule="auto"/>
        <w:ind w:left="0" w:leftChars="0" w:right="0" w:firstLine="560"/>
        <w:rPr>
          <w:rFonts w:hint="eastAsia" w:ascii="仿宋" w:hAnsi="仿宋" w:eastAsia="仿宋" w:cs="仿宋"/>
          <w:b/>
          <w:color w:val="auto"/>
          <w:sz w:val="28"/>
          <w:szCs w:val="28"/>
        </w:rPr>
      </w:pPr>
      <w:r>
        <w:rPr>
          <w:rFonts w:hint="eastAsia" w:ascii="仿宋" w:hAnsi="仿宋" w:eastAsia="仿宋" w:cs="仿宋"/>
          <w:b/>
          <w:color w:val="auto"/>
          <w:sz w:val="28"/>
          <w:szCs w:val="28"/>
        </w:rPr>
        <w:t>4.工具设备间、地下室</w:t>
      </w:r>
    </w:p>
    <w:p w14:paraId="66A7E888">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①门、窗台、窗柜、桌椅：干净整洁、无积尘；</w:t>
      </w:r>
    </w:p>
    <w:p w14:paraId="6733BC3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②墙面、墙角、踢脚线、窗帘、椅子、天花板：干净整洁、无积尘、无污渍、无蜘蛛网；</w:t>
      </w:r>
    </w:p>
    <w:p w14:paraId="22D06C79">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③地面：干净整洁、无积尘、无污渍；</w:t>
      </w:r>
    </w:p>
    <w:p w14:paraId="69034FFC">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④灯具、电扇：干净整洁、无积尘、无污渍；</w:t>
      </w:r>
    </w:p>
    <w:p w14:paraId="35EFF7C2">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⑤室内空间：空气流通、清新；</w:t>
      </w:r>
    </w:p>
    <w:p w14:paraId="64A4D32E">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⑥工具摆放整齐，工具自身洁净。</w:t>
      </w:r>
    </w:p>
    <w:p w14:paraId="562C3E77">
      <w:pPr>
        <w:pageBreakBefore w:val="0"/>
        <w:numPr>
          <w:ilvl w:val="0"/>
          <w:numId w:val="0"/>
        </w:numPr>
        <w:tabs>
          <w:tab w:val="left" w:pos="424"/>
        </w:tabs>
        <w:kinsoku/>
        <w:wordWrap/>
        <w:overflowPunct/>
        <w:topLinePunct w:val="0"/>
        <w:autoSpaceDE/>
        <w:autoSpaceDN/>
        <w:bidi w:val="0"/>
        <w:spacing w:line="360" w:lineRule="auto"/>
        <w:ind w:left="560" w:leftChars="0" w:right="0" w:rightChars="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其它保洁要求</w:t>
      </w:r>
    </w:p>
    <w:p w14:paraId="49499EB6">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①工作要求：学习、工作、办公环境上班前卫生清洁结束；坚持天天清洁和保洁；清洁过程防止二次污染；</w:t>
      </w:r>
    </w:p>
    <w:p w14:paraId="0BB7032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②接受采购人监督指导，配合采购人或卫生防疫部门做好卫生宣传、防疫和查验，并完成采购人临时交给的任务；</w:t>
      </w:r>
    </w:p>
    <w:p w14:paraId="205B83E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③遇重要节日、学校重大活动，需根据学校要求进行校园大清洁；</w:t>
      </w:r>
    </w:p>
    <w:p w14:paraId="61AD601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④屋面及外墙保洁：可上人屋面保洁标准同硬质地面，其他屋面及雨棚顶面要求无落叶等污物明显堆积，落水管口清洁、畅通；建筑物外墙3米以下无污损、小广告</w:t>
      </w:r>
      <w:r>
        <w:rPr>
          <w:rFonts w:hint="eastAsia" w:ascii="仿宋" w:hAnsi="仿宋" w:eastAsia="仿宋" w:cs="仿宋"/>
          <w:bCs/>
          <w:color w:val="auto"/>
          <w:sz w:val="28"/>
          <w:szCs w:val="28"/>
          <w:lang w:eastAsia="zh-CN"/>
        </w:rPr>
        <w:t>；</w:t>
      </w:r>
    </w:p>
    <w:p w14:paraId="5B1F2FB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⑤</w:t>
      </w:r>
      <w:r>
        <w:rPr>
          <w:rFonts w:hint="eastAsia" w:ascii="仿宋" w:hAnsi="仿宋" w:eastAsia="仿宋" w:cs="仿宋"/>
          <w:bCs/>
          <w:color w:val="auto"/>
          <w:sz w:val="28"/>
          <w:szCs w:val="28"/>
          <w:lang w:val="en-US" w:eastAsia="zh-CN"/>
        </w:rPr>
        <w:t>因教室功能不同，供应商要根据实际情况配置合适的保洁工具。</w:t>
      </w:r>
    </w:p>
    <w:p w14:paraId="44D868C0">
      <w:pPr>
        <w:pStyle w:val="9"/>
        <w:pageBreakBefore w:val="0"/>
        <w:tabs>
          <w:tab w:val="left" w:pos="840"/>
        </w:tabs>
        <w:kinsoku/>
        <w:wordWrap/>
        <w:overflowPunct/>
        <w:topLinePunct w:val="0"/>
        <w:autoSpaceDE/>
        <w:autoSpaceDN/>
        <w:bidi w:val="0"/>
        <w:spacing w:before="0" w:after="0" w:line="360" w:lineRule="auto"/>
        <w:ind w:left="0" w:leftChars="0" w:right="0"/>
        <w:jc w:val="both"/>
        <w:outlineLvl w:val="3"/>
        <w:rPr>
          <w:rFonts w:hint="eastAsia" w:ascii="仿宋" w:hAnsi="仿宋" w:eastAsia="仿宋" w:cs="仿宋"/>
          <w:color w:val="auto"/>
          <w:sz w:val="28"/>
          <w:szCs w:val="28"/>
        </w:rPr>
      </w:pPr>
      <w:bookmarkStart w:id="564" w:name="_Toc4073"/>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档案资料管理要求</w:t>
      </w:r>
      <w:bookmarkEnd w:id="564"/>
    </w:p>
    <w:p w14:paraId="31BF4D0E">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1.供应商要建立资料的收集、分类整理、归档管理制度。</w:t>
      </w:r>
    </w:p>
    <w:p w14:paraId="6C25E0CA">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2.在日常管理中要建立学校楼宇内部保洁巡查记录、业务培训考核等登记制度。</w:t>
      </w:r>
    </w:p>
    <w:p w14:paraId="3CDA8C75">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3.管理委托合同规定的其它事项。</w:t>
      </w:r>
    </w:p>
    <w:p w14:paraId="585FEA77">
      <w:pPr>
        <w:pageBreakBefore w:val="0"/>
        <w:tabs>
          <w:tab w:val="left" w:pos="424"/>
        </w:tabs>
        <w:kinsoku/>
        <w:wordWrap/>
        <w:overflowPunct/>
        <w:topLinePunct w:val="0"/>
        <w:autoSpaceDE/>
        <w:autoSpaceDN/>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4.以上资料必每月装订提交给采购人归档。</w:t>
      </w:r>
    </w:p>
    <w:p w14:paraId="48493FD2">
      <w:pPr>
        <w:pageBreakBefore w:val="0"/>
        <w:tabs>
          <w:tab w:val="left" w:pos="424"/>
        </w:tabs>
        <w:kinsoku/>
        <w:wordWrap/>
        <w:overflowPunct/>
        <w:topLinePunct w:val="0"/>
        <w:autoSpaceDE/>
        <w:autoSpaceDN/>
        <w:bidi w:val="0"/>
        <w:adjustRightInd/>
        <w:snapToGrid/>
        <w:spacing w:line="360" w:lineRule="auto"/>
        <w:ind w:left="0" w:leftChars="0" w:right="0"/>
        <w:jc w:val="center"/>
        <w:textAlignment w:val="auto"/>
        <w:outlineLvl w:val="9"/>
        <w:rPr>
          <w:rFonts w:hint="eastAsia" w:ascii="仿宋" w:hAnsi="仿宋" w:eastAsia="仿宋" w:cs="仿宋"/>
          <w:b/>
          <w:bCs/>
          <w:color w:val="auto"/>
          <w:sz w:val="28"/>
          <w:szCs w:val="28"/>
          <w:lang w:val="en-US" w:eastAsia="zh-CN"/>
        </w:rPr>
      </w:pPr>
    </w:p>
    <w:p w14:paraId="3E075F8D">
      <w:pPr>
        <w:pageBreakBefore w:val="0"/>
        <w:tabs>
          <w:tab w:val="left" w:pos="424"/>
        </w:tabs>
        <w:kinsoku/>
        <w:wordWrap/>
        <w:overflowPunct/>
        <w:topLinePunct w:val="0"/>
        <w:autoSpaceDE/>
        <w:autoSpaceDN/>
        <w:bidi w:val="0"/>
        <w:adjustRightInd/>
        <w:snapToGrid/>
        <w:spacing w:line="360" w:lineRule="auto"/>
        <w:ind w:left="0" w:leftChars="0" w:right="0"/>
        <w:jc w:val="center"/>
        <w:textAlignment w:val="auto"/>
        <w:outlineLvl w:val="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bookmarkStart w:id="565" w:name="_Toc9606"/>
      <w:r>
        <w:rPr>
          <w:rFonts w:hint="eastAsia" w:ascii="仿宋" w:hAnsi="仿宋" w:eastAsia="仿宋" w:cs="仿宋"/>
          <w:b/>
          <w:bCs/>
          <w:color w:val="auto"/>
          <w:sz w:val="28"/>
          <w:szCs w:val="28"/>
          <w:lang w:val="en-US" w:eastAsia="zh-CN"/>
        </w:rPr>
        <w:t>校园垃圾清运</w:t>
      </w:r>
    </w:p>
    <w:p w14:paraId="41C71A71">
      <w:pPr>
        <w:pStyle w:val="9"/>
        <w:pageBreakBefore w:val="0"/>
        <w:widowControl w:val="0"/>
        <w:kinsoku/>
        <w:wordWrap/>
        <w:overflowPunct/>
        <w:topLinePunct w:val="0"/>
        <w:autoSpaceDE/>
        <w:autoSpaceDN/>
        <w:bidi w:val="0"/>
        <w:adjustRightInd/>
        <w:snapToGrid/>
        <w:spacing w:before="0" w:after="0" w:line="360" w:lineRule="auto"/>
        <w:ind w:left="0" w:leftChars="0" w:right="0" w:firstLine="587" w:firstLineChars="209"/>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（一）服务范围</w:t>
      </w:r>
    </w:p>
    <w:p w14:paraId="3E1843D3">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服务包含校园垃圾站管理、垃圾清运、室外排水明沟、雨水井、污水井保洁、垃圾桶擦拭等服务。垃圾清运服务包含校园内所有垃圾桶、果皮箱的垃圾（包括学生室外打扫的垃圾、落叶、尘土等）、绿化垃圾、物业维修产生的建筑垃圾等的收集和外运，垃圾收集车辆和外运车辆为必</w:t>
      </w:r>
      <w:r>
        <w:rPr>
          <w:rFonts w:hint="eastAsia" w:ascii="仿宋" w:hAnsi="仿宋" w:eastAsia="仿宋" w:cs="仿宋"/>
          <w:color w:val="auto"/>
          <w:sz w:val="28"/>
          <w:szCs w:val="28"/>
          <w:highlight w:val="none"/>
          <w:lang w:val="en-US" w:eastAsia="zh-CN"/>
        </w:rPr>
        <w:t>备</w:t>
      </w:r>
      <w:r>
        <w:rPr>
          <w:rFonts w:hint="eastAsia" w:ascii="仿宋" w:hAnsi="仿宋" w:eastAsia="仿宋" w:cs="仿宋"/>
          <w:color w:val="auto"/>
          <w:sz w:val="28"/>
          <w:szCs w:val="28"/>
          <w:lang w:val="en-US" w:eastAsia="zh-CN"/>
        </w:rPr>
        <w:t>设备。</w:t>
      </w:r>
      <w:r>
        <w:rPr>
          <w:rFonts w:hint="eastAsia" w:ascii="仿宋" w:hAnsi="仿宋" w:eastAsia="仿宋" w:cs="仿宋"/>
          <w:color w:val="auto"/>
          <w:sz w:val="28"/>
          <w:szCs w:val="28"/>
          <w:highlight w:val="none"/>
          <w:lang w:val="en-US" w:eastAsia="zh-CN"/>
        </w:rPr>
        <w:t>室外垃圾桶购置及垃圾清运服务费等共计53.62万元/年，</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p>
    <w:p w14:paraId="270C2B09">
      <w:pPr>
        <w:pStyle w:val="9"/>
        <w:pageBreakBefore w:val="0"/>
        <w:widowControl w:val="0"/>
        <w:kinsoku/>
        <w:wordWrap/>
        <w:overflowPunct/>
        <w:topLinePunct w:val="0"/>
        <w:autoSpaceDE/>
        <w:autoSpaceDN/>
        <w:bidi w:val="0"/>
        <w:adjustRightInd/>
        <w:snapToGrid/>
        <w:spacing w:before="0" w:after="0" w:line="360" w:lineRule="auto"/>
        <w:ind w:left="0" w:leftChars="0" w:right="0" w:firstLine="587" w:firstLineChars="209"/>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（二）服务标准及质量要求</w:t>
      </w:r>
    </w:p>
    <w:p w14:paraId="63893678">
      <w:pPr>
        <w:pageBreakBefore w:val="0"/>
        <w:widowControl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垃圾外运要使用环保无噪或低噪车辆，供应商提供的清运车辆应符合社会及采购人的清运要求，密闭化运输，车容整洁，无遗洒，无垃圾乱飞抛洒现象。加强车辆安全管理，一切安全问题均由供应商负责。垃圾清运及设施设备要符合当地政府对环保的要求。</w:t>
      </w:r>
    </w:p>
    <w:p w14:paraId="30CA6C8B">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校内垃圾转运车辆要求使用环保无噪或低噪电动车辆，密闭化运输，车容整洁，无遗洒，无垃圾乱飞抛洒现象。加强车辆安全管理，一切安全问题均由供应商负责。垃圾转运及设施设备要符合当地政府对环保的要求。</w:t>
      </w:r>
    </w:p>
    <w:p w14:paraId="5C620B42">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垃圾中转站卫生标准：垃圾房内的垃圾外运应做到日产日清，地面无散落垃圾、无明显污水、污渍，墙面无粘附物、无明显污渍，工具摆放有序；每天至少两次对垃圾房地面进行冲洗，每天至少一次对垃圾收集车辆和外运车辆进行冲洗，垃圾房每日至少两次消杀，防止蚊、蝇、鼠、蟑等害虫滋生，并建立台账。</w:t>
      </w:r>
    </w:p>
    <w:p w14:paraId="1E1FCBE3">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4.垃圾桶：负责校园内垃圾桶的清洁及购置工作（年内至少更换1次），清洁工作夏天两天一次，冬季一周一次，如遇学校重大活动，需根据学校工作要求进行垃圾桶保洁。</w:t>
      </w:r>
    </w:p>
    <w:p w14:paraId="5AE30DFE">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5.排水明沟：无明显泥沙、污垢。</w:t>
      </w:r>
    </w:p>
    <w:p w14:paraId="57677170">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6.雨水井、污水井：底部无沉淀物，内壁无粘附物，井盖无污迹；每月检查1次，视检查情况及时清掏，并做好台账记录。</w:t>
      </w:r>
    </w:p>
    <w:p w14:paraId="2A2A7647">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7.严禁非公用电动车辆在垃圾站充电区充电。</w:t>
      </w:r>
    </w:p>
    <w:p w14:paraId="6C628AEC">
      <w:pPr>
        <w:pStyle w:val="9"/>
        <w:pageBreakBefore w:val="0"/>
        <w:widowControl w:val="0"/>
        <w:kinsoku/>
        <w:wordWrap/>
        <w:overflowPunct/>
        <w:topLinePunct w:val="0"/>
        <w:autoSpaceDE/>
        <w:autoSpaceDN/>
        <w:bidi w:val="0"/>
        <w:adjustRightInd/>
        <w:snapToGrid/>
        <w:spacing w:before="0" w:after="0" w:line="360" w:lineRule="auto"/>
        <w:ind w:left="0" w:leftChars="0" w:right="0" w:firstLine="587" w:firstLineChars="209"/>
        <w:jc w:val="left"/>
        <w:textAlignment w:val="auto"/>
        <w:outlineLvl w:val="3"/>
        <w:rPr>
          <w:rFonts w:hint="eastAsia" w:ascii="仿宋" w:hAnsi="仿宋" w:eastAsia="仿宋" w:cs="仿宋"/>
          <w:color w:val="auto"/>
          <w:sz w:val="28"/>
          <w:szCs w:val="28"/>
          <w:lang w:val="en-US" w:eastAsia="zh-CN"/>
        </w:rPr>
      </w:pPr>
      <w:bookmarkStart w:id="566" w:name="_Toc4690"/>
      <w:r>
        <w:rPr>
          <w:rFonts w:hint="eastAsia" w:ascii="仿宋" w:hAnsi="仿宋" w:eastAsia="仿宋" w:cs="仿宋"/>
          <w:color w:val="auto"/>
          <w:sz w:val="28"/>
          <w:szCs w:val="28"/>
          <w:lang w:val="en-US" w:eastAsia="zh-CN"/>
        </w:rPr>
        <w:t>（三）档案资料管理要求</w:t>
      </w:r>
      <w:bookmarkEnd w:id="566"/>
    </w:p>
    <w:p w14:paraId="4C1445F2">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1.供应商要建立资料的收集、分类整理、归档管理制度。</w:t>
      </w:r>
    </w:p>
    <w:p w14:paraId="62ED91A1">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2.在日常管理中要建立校园保洁巡查记录、业务培训考核等登记制度。</w:t>
      </w:r>
    </w:p>
    <w:p w14:paraId="6268C83F">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3.管理委托合同规定的其它事项。</w:t>
      </w:r>
    </w:p>
    <w:p w14:paraId="2913B835">
      <w:pPr>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4.以上资料每月装订提交给采购人归档。</w:t>
      </w:r>
      <w:bookmarkEnd w:id="565"/>
    </w:p>
    <w:p w14:paraId="2C2F8213">
      <w:pPr>
        <w:pageBreakBefore w:val="0"/>
        <w:kinsoku/>
        <w:wordWrap/>
        <w:overflowPunct/>
        <w:topLinePunct w:val="0"/>
        <w:bidi w:val="0"/>
        <w:spacing w:line="360" w:lineRule="auto"/>
        <w:rPr>
          <w:rFonts w:hint="eastAsia" w:ascii="仿宋" w:hAnsi="仿宋" w:eastAsia="仿宋" w:cs="仿宋"/>
          <w:b/>
          <w:bCs/>
          <w:color w:val="auto"/>
          <w:sz w:val="28"/>
          <w:szCs w:val="28"/>
          <w:lang w:val="en-US" w:eastAsia="zh-CN"/>
        </w:rPr>
      </w:pPr>
    </w:p>
    <w:p w14:paraId="7F35C903">
      <w:pPr>
        <w:pageBreakBefore w:val="0"/>
        <w:kinsoku/>
        <w:wordWrap/>
        <w:overflowPunct/>
        <w:topLinePunct w:val="0"/>
        <w:bidi w:val="0"/>
        <w:spacing w:line="360" w:lineRule="auto"/>
        <w:jc w:val="center"/>
        <w:outlineLvl w:val="1"/>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sz w:val="28"/>
          <w:szCs w:val="28"/>
          <w:lang w:val="en-US" w:eastAsia="zh-CN"/>
        </w:rPr>
        <w:t>第二节  基本大伙食堂保洁物业管理项目要求</w:t>
      </w:r>
    </w:p>
    <w:p w14:paraId="5E556B34">
      <w:pPr>
        <w:pStyle w:val="8"/>
        <w:pageBreakBefore w:val="0"/>
        <w:tabs>
          <w:tab w:val="left" w:pos="840"/>
        </w:tabs>
        <w:kinsoku/>
        <w:wordWrap/>
        <w:overflowPunct/>
        <w:topLinePunct w:val="0"/>
        <w:autoSpaceDE/>
        <w:autoSpaceDN/>
        <w:bidi w:val="0"/>
        <w:adjustRightInd/>
        <w:snapToGrid/>
        <w:spacing w:before="0" w:after="0" w:line="360" w:lineRule="auto"/>
        <w:ind w:left="0" w:leftChars="0" w:right="0" w:firstLine="562" w:firstLineChars="200"/>
        <w:jc w:val="left"/>
        <w:textAlignment w:val="auto"/>
        <w:outlineLvl w:val="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（一）服务范围</w:t>
      </w:r>
    </w:p>
    <w:p w14:paraId="1465203A">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基本大伙食堂共分为第一食堂一楼餐厅、第二食堂一楼餐厅和教工餐厅，其中第一食堂一楼餐厅面积约4100平方米，第二食堂一楼餐厅面积约5000平方米，教工餐厅面积约2500平方米，共约2800个座位，洗消间3间。服务内容包括对餐厅前厅的卫生打扫、对餐厅卫生间的打扫、对餐具的回收分类、对餐具的清洗和消毒、对餐厅外围卫生维护。</w:t>
      </w:r>
    </w:p>
    <w:p w14:paraId="5D3F8F23">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食堂饭厅区域卫生，包括：售饭区、饭厅以及饭厅外公共地面、各层楼梯扶手、大门、门帘、玻璃、公共走道、饭厅照明开关）。</w:t>
      </w:r>
    </w:p>
    <w:p w14:paraId="46A6A397">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食堂公用餐具的洗消（包括洗消间的卫生、洗消间外过道卫生、洗碗机、消毒柜的日常清理），</w:t>
      </w:r>
      <w:r>
        <w:rPr>
          <w:rFonts w:hint="eastAsia" w:ascii="仿宋" w:hAnsi="仿宋" w:eastAsia="仿宋" w:cs="仿宋"/>
          <w:color w:val="auto"/>
          <w:sz w:val="28"/>
          <w:szCs w:val="28"/>
          <w:lang w:val="en-US" w:eastAsia="zh-CN"/>
        </w:rPr>
        <w:t>做好</w:t>
      </w:r>
      <w:r>
        <w:rPr>
          <w:rFonts w:hint="eastAsia" w:ascii="仿宋" w:hAnsi="仿宋" w:eastAsia="仿宋" w:cs="仿宋"/>
          <w:color w:val="auto"/>
          <w:sz w:val="28"/>
          <w:szCs w:val="28"/>
        </w:rPr>
        <w:t>相关记录。</w:t>
      </w:r>
    </w:p>
    <w:p w14:paraId="52412DC9">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教工餐厅</w:t>
      </w:r>
      <w:r>
        <w:rPr>
          <w:rFonts w:hint="eastAsia" w:ascii="仿宋" w:hAnsi="仿宋" w:eastAsia="仿宋" w:cs="仿宋"/>
          <w:color w:val="auto"/>
          <w:sz w:val="28"/>
          <w:szCs w:val="28"/>
        </w:rPr>
        <w:t>西北侧步梯、西北侧货梯的保洁</w:t>
      </w:r>
      <w:r>
        <w:rPr>
          <w:rFonts w:hint="eastAsia" w:ascii="仿宋" w:hAnsi="仿宋" w:eastAsia="仿宋" w:cs="仿宋"/>
          <w:color w:val="auto"/>
          <w:sz w:val="28"/>
          <w:szCs w:val="28"/>
          <w:lang w:eastAsia="zh-CN"/>
        </w:rPr>
        <w:t>。</w:t>
      </w:r>
    </w:p>
    <w:p w14:paraId="70A33FC3">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食堂外环境卫生（门前三包，包括食堂建筑主体结构垂直外立面以内路面无杂物、墙面、玻璃墙的清理，</w:t>
      </w:r>
      <w:r>
        <w:rPr>
          <w:rFonts w:hint="eastAsia" w:ascii="仿宋" w:hAnsi="仿宋" w:eastAsia="仿宋" w:cs="仿宋"/>
          <w:bCs/>
          <w:color w:val="auto"/>
          <w:sz w:val="28"/>
          <w:szCs w:val="28"/>
        </w:rPr>
        <w:t>第一食堂、第二食堂楼顶，食堂外部厨余废弃物和生活垃圾存放处的环境卫生保洁</w:t>
      </w:r>
      <w:r>
        <w:rPr>
          <w:rFonts w:hint="eastAsia" w:ascii="仿宋" w:hAnsi="仿宋" w:eastAsia="仿宋" w:cs="仿宋"/>
          <w:color w:val="auto"/>
          <w:sz w:val="28"/>
          <w:szCs w:val="28"/>
        </w:rPr>
        <w:t>）。</w:t>
      </w:r>
    </w:p>
    <w:p w14:paraId="6476AE65">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食堂公用卫生间的整体卫生（包括地面、墙面、设施、洁具、垃圾桶），做好相关记录。</w:t>
      </w:r>
    </w:p>
    <w:p w14:paraId="23771480">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协助食堂完成厨房容器用具的洗消。</w:t>
      </w:r>
    </w:p>
    <w:p w14:paraId="1F49BCF5">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所有垃圾按照郑州市规定做好垃圾分类与统计、清运台账登记。</w:t>
      </w:r>
    </w:p>
    <w:p w14:paraId="7FEA4CFE">
      <w:pPr>
        <w:pageBreakBefore w:val="0"/>
        <w:widowControl/>
        <w:kinsoku/>
        <w:wordWrap/>
        <w:overflowPunct/>
        <w:topLinePunct w:val="0"/>
        <w:autoSpaceDE/>
        <w:autoSpaceDN/>
        <w:bidi w:val="0"/>
        <w:adjustRightInd/>
        <w:snapToGrid/>
        <w:spacing w:line="360" w:lineRule="auto"/>
        <w:ind w:left="0" w:leftChars="0" w:right="0" w:firstLine="560"/>
        <w:jc w:val="left"/>
        <w:textAlignment w:val="auto"/>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en-US" w:eastAsia="zh-CN"/>
        </w:rPr>
        <w:t>各食堂</w:t>
      </w:r>
      <w:r>
        <w:rPr>
          <w:rFonts w:hint="eastAsia" w:ascii="仿宋" w:hAnsi="仿宋" w:eastAsia="仿宋" w:cs="仿宋"/>
          <w:b/>
          <w:bCs/>
          <w:color w:val="auto"/>
          <w:sz w:val="28"/>
          <w:szCs w:val="28"/>
          <w:lang w:val="zh-CN"/>
        </w:rPr>
        <w:t>保洁区域范围和服务内容（经营面积、就餐面积供参考）</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81"/>
        <w:gridCol w:w="845"/>
        <w:gridCol w:w="742"/>
        <w:gridCol w:w="6534"/>
      </w:tblGrid>
      <w:tr w14:paraId="63CB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restart"/>
            <w:shd w:val="clear" w:color="auto" w:fill="auto"/>
            <w:vAlign w:val="center"/>
          </w:tcPr>
          <w:p w14:paraId="62FE21DB">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地点</w:t>
            </w:r>
          </w:p>
        </w:tc>
        <w:tc>
          <w:tcPr>
            <w:tcW w:w="1530" w:type="dxa"/>
            <w:gridSpan w:val="2"/>
            <w:shd w:val="clear" w:color="auto" w:fill="auto"/>
            <w:vAlign w:val="center"/>
          </w:tcPr>
          <w:p w14:paraId="2E7767C1">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面积（</w:t>
            </w:r>
            <w:r>
              <w:rPr>
                <w:rFonts w:hint="eastAsia" w:ascii="宋体" w:hAnsi="宋体" w:eastAsia="宋体" w:cs="宋体"/>
                <w:b w:val="0"/>
                <w:bCs w:val="0"/>
                <w:color w:val="auto"/>
                <w:sz w:val="24"/>
                <w:szCs w:val="24"/>
              </w:rPr>
              <w:t>㎡</w:t>
            </w:r>
            <w:r>
              <w:rPr>
                <w:rFonts w:hint="eastAsia" w:ascii="仿宋" w:hAnsi="仿宋" w:eastAsia="仿宋" w:cs="仿宋"/>
                <w:b w:val="0"/>
                <w:bCs w:val="0"/>
                <w:color w:val="auto"/>
                <w:sz w:val="24"/>
                <w:szCs w:val="24"/>
              </w:rPr>
              <w:t>）</w:t>
            </w:r>
          </w:p>
        </w:tc>
        <w:tc>
          <w:tcPr>
            <w:tcW w:w="698" w:type="dxa"/>
            <w:vMerge w:val="restart"/>
            <w:shd w:val="clear" w:color="auto" w:fill="auto"/>
            <w:vAlign w:val="center"/>
          </w:tcPr>
          <w:p w14:paraId="09F77AB3">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人数配置参考</w:t>
            </w:r>
          </w:p>
        </w:tc>
        <w:tc>
          <w:tcPr>
            <w:tcW w:w="6150" w:type="dxa"/>
            <w:vMerge w:val="restart"/>
            <w:shd w:val="clear" w:color="auto" w:fill="auto"/>
            <w:vAlign w:val="center"/>
          </w:tcPr>
          <w:p w14:paraId="41ADCB09">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保洁区域及内容</w:t>
            </w:r>
          </w:p>
        </w:tc>
      </w:tr>
      <w:tr w14:paraId="1E69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shd w:val="clear" w:color="auto" w:fill="D7D7D7"/>
            <w:vAlign w:val="center"/>
          </w:tcPr>
          <w:p w14:paraId="20EA1469">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p>
        </w:tc>
        <w:tc>
          <w:tcPr>
            <w:tcW w:w="735" w:type="dxa"/>
            <w:shd w:val="clear" w:color="auto" w:fill="auto"/>
            <w:vAlign w:val="center"/>
          </w:tcPr>
          <w:p w14:paraId="40C14AB0">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建筑面积</w:t>
            </w:r>
          </w:p>
        </w:tc>
        <w:tc>
          <w:tcPr>
            <w:tcW w:w="795" w:type="dxa"/>
            <w:shd w:val="clear" w:color="auto" w:fill="auto"/>
            <w:vAlign w:val="center"/>
          </w:tcPr>
          <w:p w14:paraId="4AB0906C">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就餐区域</w:t>
            </w:r>
          </w:p>
        </w:tc>
        <w:tc>
          <w:tcPr>
            <w:tcW w:w="698" w:type="dxa"/>
            <w:vMerge w:val="continue"/>
            <w:shd w:val="clear" w:color="auto" w:fill="D7D7D7"/>
            <w:vAlign w:val="center"/>
          </w:tcPr>
          <w:p w14:paraId="5F056DDB">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p>
        </w:tc>
        <w:tc>
          <w:tcPr>
            <w:tcW w:w="6150" w:type="dxa"/>
            <w:vMerge w:val="continue"/>
            <w:shd w:val="clear" w:color="auto" w:fill="D7D7D7"/>
            <w:vAlign w:val="center"/>
          </w:tcPr>
          <w:p w14:paraId="13DC5051">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p>
        </w:tc>
      </w:tr>
      <w:tr w14:paraId="6373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1C1E279">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第一食堂一楼餐厅</w:t>
            </w:r>
          </w:p>
        </w:tc>
        <w:tc>
          <w:tcPr>
            <w:tcW w:w="735" w:type="dxa"/>
            <w:vAlign w:val="center"/>
          </w:tcPr>
          <w:p w14:paraId="086C3816">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4100</w:t>
            </w:r>
          </w:p>
        </w:tc>
        <w:tc>
          <w:tcPr>
            <w:tcW w:w="795" w:type="dxa"/>
            <w:vAlign w:val="center"/>
          </w:tcPr>
          <w:p w14:paraId="30D8DB1C">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2000</w:t>
            </w:r>
          </w:p>
        </w:tc>
        <w:tc>
          <w:tcPr>
            <w:tcW w:w="698" w:type="dxa"/>
            <w:vAlign w:val="center"/>
          </w:tcPr>
          <w:p w14:paraId="18DE1BE7">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6150" w:type="dxa"/>
            <w:vAlign w:val="center"/>
          </w:tcPr>
          <w:p w14:paraId="5FCC496B">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第一食堂一楼餐厅就餐区卫生保洁（包括就餐区及就餐区外公共地面、屋顶、墙面、踢脚线、暖气缝、餐桌椅、售饭台外侧包括玻璃、收餐台、洗手池、楼梯扶手、公共走道、大厅照明开关、电闸箱、空调、所有门窗包括玻璃卫生）。</w:t>
            </w:r>
          </w:p>
          <w:p w14:paraId="0AEF359C">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公用餐具洗消（包括所有公用餐具卫生清洗、消毒、运送，洗消间的卫生、洗消间外过道卫生、手推车、洗碗机、消毒柜、筷子车的日常清理）。</w:t>
            </w:r>
          </w:p>
          <w:p w14:paraId="47080524">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公用卫生间（包括地面、墙面、便池、洗手池、洁具等设施卫生）。</w:t>
            </w:r>
          </w:p>
          <w:p w14:paraId="655A057B">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食堂外围环境卫生，含第一食堂楼顶、第一食堂西侧厨余废弃物和生活垃圾存放处的环境卫生保洁。</w:t>
            </w:r>
          </w:p>
          <w:p w14:paraId="5B30B6E9">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所有垃圾按照郑州市规定做好垃圾分类与统计、清运台账登记。</w:t>
            </w:r>
          </w:p>
          <w:p w14:paraId="6AA382E2">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协助食堂完成厨房容器用具的洗消等工作。</w:t>
            </w:r>
          </w:p>
        </w:tc>
      </w:tr>
      <w:tr w14:paraId="3A9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6B32849">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第二食堂一楼餐厅</w:t>
            </w:r>
          </w:p>
        </w:tc>
        <w:tc>
          <w:tcPr>
            <w:tcW w:w="735" w:type="dxa"/>
            <w:vAlign w:val="center"/>
          </w:tcPr>
          <w:p w14:paraId="6BFD4311">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5000</w:t>
            </w:r>
          </w:p>
        </w:tc>
        <w:tc>
          <w:tcPr>
            <w:tcW w:w="795" w:type="dxa"/>
            <w:vAlign w:val="center"/>
          </w:tcPr>
          <w:p w14:paraId="14F7609E">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2500</w:t>
            </w:r>
          </w:p>
        </w:tc>
        <w:tc>
          <w:tcPr>
            <w:tcW w:w="698" w:type="dxa"/>
            <w:vAlign w:val="center"/>
          </w:tcPr>
          <w:p w14:paraId="4DAAF9CF">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6</w:t>
            </w:r>
          </w:p>
        </w:tc>
        <w:tc>
          <w:tcPr>
            <w:tcW w:w="6150" w:type="dxa"/>
            <w:vAlign w:val="center"/>
          </w:tcPr>
          <w:p w14:paraId="4504C168">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第二食堂一楼餐厅就餐区卫生保洁（包括就餐区及就餐区外公共地面、屋顶、墙面、踢脚线、暖气缝、餐桌椅、售饭台外侧包括玻璃、收餐台、洗手池、楼梯扶手、公共走道、大厅照明开关、电闸箱、空调、所有门窗包括玻璃卫生）。</w:t>
            </w:r>
          </w:p>
          <w:p w14:paraId="0DA43DE9">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公用餐具洗消（包括所有公用餐具卫生清洗、消毒、运送，洗消间的卫生、洗消间外过道卫生、手推车、洗碗机、消毒柜、筷子车的日常清理）。</w:t>
            </w:r>
          </w:p>
          <w:p w14:paraId="6C12ACA7">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公用卫生间（包括地面、墙面、便池、洗手池、洁具等设施卫生）。</w:t>
            </w:r>
          </w:p>
          <w:p w14:paraId="4D1C2F6C">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所有垃圾按照郑州市规定做好垃圾分类与统计、清运台账登记。</w:t>
            </w:r>
          </w:p>
          <w:p w14:paraId="7BC3C8F0">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协助食堂完成厨房容器用具的洗消等工作。</w:t>
            </w:r>
          </w:p>
        </w:tc>
      </w:tr>
      <w:tr w14:paraId="0ED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3350B0F9">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教工餐厅</w:t>
            </w:r>
          </w:p>
        </w:tc>
        <w:tc>
          <w:tcPr>
            <w:tcW w:w="735" w:type="dxa"/>
            <w:vAlign w:val="center"/>
          </w:tcPr>
          <w:p w14:paraId="254930AD">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2500</w:t>
            </w:r>
          </w:p>
        </w:tc>
        <w:tc>
          <w:tcPr>
            <w:tcW w:w="795" w:type="dxa"/>
            <w:vAlign w:val="center"/>
          </w:tcPr>
          <w:p w14:paraId="45C1B4A4">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1200</w:t>
            </w:r>
          </w:p>
        </w:tc>
        <w:tc>
          <w:tcPr>
            <w:tcW w:w="698" w:type="dxa"/>
            <w:vAlign w:val="center"/>
          </w:tcPr>
          <w:p w14:paraId="127D81CD">
            <w:pPr>
              <w:pageBreakBefore w:val="0"/>
              <w:widowControl/>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p>
        </w:tc>
        <w:tc>
          <w:tcPr>
            <w:tcW w:w="6150" w:type="dxa"/>
            <w:vAlign w:val="center"/>
          </w:tcPr>
          <w:p w14:paraId="16C442F6">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教工餐厅就餐区卫生保洁（包括就餐区及就餐区外公共地面、屋顶、墙面、踢脚线、暖气缝、餐桌椅、售饭台外侧包括玻璃、收餐台、洗手池、楼梯扶手、公共走道、大厅照明开关、电闸箱、空调、所有门窗包括玻璃卫生）。</w:t>
            </w:r>
          </w:p>
          <w:p w14:paraId="7DB8D956">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公用餐具洗消（包括所有公用餐具卫生清洗、消毒、运送，洗消间的卫生、洗消间外过道卫生、手推车、洗碗机、消毒柜、筷子车的日常清理）。</w:t>
            </w:r>
          </w:p>
          <w:p w14:paraId="6956769D">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卫生间（包括地面、墙面、便池、洗手池、洁具等设施卫生），西北侧步梯、西北侧货梯的保洁。</w:t>
            </w:r>
          </w:p>
          <w:p w14:paraId="026A95D4">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食堂外围环境卫生，含第二食堂楼顶、第二食堂北侧厨余废弃物和生活垃圾存放处的环境卫生保洁。</w:t>
            </w:r>
          </w:p>
          <w:p w14:paraId="5DC8A6D9">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所有垃圾按照郑州市规定做好垃圾分类与统计、清运台账登记。</w:t>
            </w:r>
          </w:p>
          <w:p w14:paraId="1E7C3D3E">
            <w:pPr>
              <w:pageBreakBefore w:val="0"/>
              <w:widowControl/>
              <w:kinsoku/>
              <w:wordWrap/>
              <w:overflowPunct/>
              <w:topLinePunct w:val="0"/>
              <w:autoSpaceDE/>
              <w:autoSpaceDN/>
              <w:bidi w:val="0"/>
              <w:adjustRightInd/>
              <w:snapToGrid/>
              <w:spacing w:line="360" w:lineRule="auto"/>
              <w:ind w:left="0" w:leftChars="0" w:right="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协助食堂完成厨房容器用具的洗消等工作。</w:t>
            </w:r>
          </w:p>
        </w:tc>
      </w:tr>
    </w:tbl>
    <w:p w14:paraId="09C2159E">
      <w:pPr>
        <w:pStyle w:val="8"/>
        <w:pageBreakBefore w:val="0"/>
        <w:tabs>
          <w:tab w:val="left" w:pos="840"/>
        </w:tabs>
        <w:kinsoku/>
        <w:wordWrap/>
        <w:overflowPunct/>
        <w:topLinePunct w:val="0"/>
        <w:autoSpaceDE/>
        <w:autoSpaceDN/>
        <w:bidi w:val="0"/>
        <w:adjustRightInd/>
        <w:snapToGrid/>
        <w:spacing w:before="0" w:after="0" w:line="360" w:lineRule="auto"/>
        <w:ind w:left="0" w:leftChars="0" w:right="0" w:firstLine="562" w:firstLineChars="200"/>
        <w:jc w:val="left"/>
        <w:textAlignment w:val="auto"/>
        <w:outlineLvl w:val="2"/>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（二）服务标准及质量要求</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0"/>
        <w:gridCol w:w="2967"/>
        <w:gridCol w:w="963"/>
        <w:gridCol w:w="1017"/>
        <w:gridCol w:w="796"/>
        <w:gridCol w:w="747"/>
        <w:gridCol w:w="617"/>
      </w:tblGrid>
      <w:tr w14:paraId="1E06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5FDC164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w:t>
            </w:r>
          </w:p>
          <w:p w14:paraId="64AA463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w:t>
            </w:r>
          </w:p>
        </w:tc>
        <w:tc>
          <w:tcPr>
            <w:tcW w:w="1520" w:type="dxa"/>
            <w:vMerge w:val="restart"/>
            <w:vAlign w:val="center"/>
          </w:tcPr>
          <w:p w14:paraId="7A85837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服务项目</w:t>
            </w:r>
          </w:p>
          <w:p w14:paraId="1AB5BAB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分类</w:t>
            </w:r>
          </w:p>
        </w:tc>
        <w:tc>
          <w:tcPr>
            <w:tcW w:w="2967" w:type="dxa"/>
            <w:vMerge w:val="restart"/>
            <w:vAlign w:val="center"/>
          </w:tcPr>
          <w:p w14:paraId="25E7827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服务标准</w:t>
            </w:r>
          </w:p>
        </w:tc>
        <w:tc>
          <w:tcPr>
            <w:tcW w:w="4140" w:type="dxa"/>
            <w:gridSpan w:val="5"/>
            <w:vAlign w:val="center"/>
          </w:tcPr>
          <w:p w14:paraId="5414D5A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工作频次</w:t>
            </w:r>
          </w:p>
        </w:tc>
      </w:tr>
      <w:tr w14:paraId="3A1A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3CA06E0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p>
        </w:tc>
        <w:tc>
          <w:tcPr>
            <w:tcW w:w="1520" w:type="dxa"/>
            <w:vMerge w:val="continue"/>
            <w:vAlign w:val="center"/>
          </w:tcPr>
          <w:p w14:paraId="2CB5B89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p>
        </w:tc>
        <w:tc>
          <w:tcPr>
            <w:tcW w:w="2967" w:type="dxa"/>
            <w:vMerge w:val="continue"/>
            <w:vAlign w:val="center"/>
          </w:tcPr>
          <w:p w14:paraId="1E3F31F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p>
        </w:tc>
        <w:tc>
          <w:tcPr>
            <w:tcW w:w="963" w:type="dxa"/>
            <w:vAlign w:val="center"/>
          </w:tcPr>
          <w:p w14:paraId="1488A2F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循环</w:t>
            </w:r>
          </w:p>
        </w:tc>
        <w:tc>
          <w:tcPr>
            <w:tcW w:w="1017" w:type="dxa"/>
            <w:vAlign w:val="center"/>
          </w:tcPr>
          <w:p w14:paraId="2896868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日</w:t>
            </w:r>
          </w:p>
        </w:tc>
        <w:tc>
          <w:tcPr>
            <w:tcW w:w="796" w:type="dxa"/>
            <w:vAlign w:val="center"/>
          </w:tcPr>
          <w:p w14:paraId="660520D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周</w:t>
            </w:r>
          </w:p>
        </w:tc>
        <w:tc>
          <w:tcPr>
            <w:tcW w:w="747" w:type="dxa"/>
            <w:vAlign w:val="center"/>
          </w:tcPr>
          <w:p w14:paraId="7E0105A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月</w:t>
            </w:r>
          </w:p>
        </w:tc>
        <w:tc>
          <w:tcPr>
            <w:tcW w:w="617" w:type="dxa"/>
            <w:vAlign w:val="center"/>
          </w:tcPr>
          <w:p w14:paraId="427F848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季</w:t>
            </w:r>
          </w:p>
        </w:tc>
      </w:tr>
      <w:tr w14:paraId="112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6C066B2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桌椅</w:t>
            </w:r>
          </w:p>
        </w:tc>
        <w:tc>
          <w:tcPr>
            <w:tcW w:w="1520" w:type="dxa"/>
            <w:vAlign w:val="center"/>
          </w:tcPr>
          <w:p w14:paraId="39AA962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桌面</w:t>
            </w:r>
          </w:p>
        </w:tc>
        <w:tc>
          <w:tcPr>
            <w:tcW w:w="2967" w:type="dxa"/>
            <w:vAlign w:val="center"/>
          </w:tcPr>
          <w:p w14:paraId="308CD18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无油渍、光亮、桌布整洁</w:t>
            </w:r>
          </w:p>
        </w:tc>
        <w:tc>
          <w:tcPr>
            <w:tcW w:w="963" w:type="dxa"/>
            <w:vAlign w:val="center"/>
          </w:tcPr>
          <w:p w14:paraId="4E5B779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刮拭</w:t>
            </w:r>
          </w:p>
        </w:tc>
        <w:tc>
          <w:tcPr>
            <w:tcW w:w="1017" w:type="dxa"/>
            <w:vAlign w:val="center"/>
          </w:tcPr>
          <w:p w14:paraId="3D229BB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40704B9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DA0EB1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6249380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92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6691762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56918AF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椅子</w:t>
            </w:r>
          </w:p>
        </w:tc>
        <w:tc>
          <w:tcPr>
            <w:tcW w:w="2967" w:type="dxa"/>
            <w:vAlign w:val="center"/>
          </w:tcPr>
          <w:p w14:paraId="7171723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无污渍、不粘手、整齐</w:t>
            </w:r>
          </w:p>
        </w:tc>
        <w:tc>
          <w:tcPr>
            <w:tcW w:w="963" w:type="dxa"/>
            <w:vAlign w:val="center"/>
          </w:tcPr>
          <w:p w14:paraId="0FF8505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1017" w:type="dxa"/>
            <w:vAlign w:val="center"/>
          </w:tcPr>
          <w:p w14:paraId="219C27C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73EA002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4E1D8F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5023A00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078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50BC028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墙</w:t>
            </w:r>
          </w:p>
          <w:p w14:paraId="3F55DF2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面</w:t>
            </w:r>
          </w:p>
        </w:tc>
        <w:tc>
          <w:tcPr>
            <w:tcW w:w="1520" w:type="dxa"/>
            <w:vAlign w:val="center"/>
          </w:tcPr>
          <w:p w14:paraId="5C4FECD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形象墙面</w:t>
            </w:r>
          </w:p>
        </w:tc>
        <w:tc>
          <w:tcPr>
            <w:tcW w:w="2967" w:type="dxa"/>
            <w:vAlign w:val="center"/>
          </w:tcPr>
          <w:p w14:paraId="3898B19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无污渍、无水渍</w:t>
            </w:r>
          </w:p>
        </w:tc>
        <w:tc>
          <w:tcPr>
            <w:tcW w:w="963" w:type="dxa"/>
            <w:vAlign w:val="center"/>
          </w:tcPr>
          <w:p w14:paraId="692E23C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141D36D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62162E3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747" w:type="dxa"/>
            <w:vAlign w:val="center"/>
          </w:tcPr>
          <w:p w14:paraId="5F53273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6601F5B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2B4C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6D8F32E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6F66D72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公告栏</w:t>
            </w:r>
          </w:p>
        </w:tc>
        <w:tc>
          <w:tcPr>
            <w:tcW w:w="2967" w:type="dxa"/>
            <w:vAlign w:val="center"/>
          </w:tcPr>
          <w:p w14:paraId="399F7AF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无脱落、整洁</w:t>
            </w:r>
          </w:p>
        </w:tc>
        <w:tc>
          <w:tcPr>
            <w:tcW w:w="963" w:type="dxa"/>
            <w:vAlign w:val="center"/>
          </w:tcPr>
          <w:p w14:paraId="172AC05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3B4DEB5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37D9CCF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9BEA2C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03DA51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4EF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037B360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03929EE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指示牌</w:t>
            </w:r>
          </w:p>
        </w:tc>
        <w:tc>
          <w:tcPr>
            <w:tcW w:w="2967" w:type="dxa"/>
            <w:vAlign w:val="center"/>
          </w:tcPr>
          <w:p w14:paraId="5CC6C57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w:t>
            </w:r>
          </w:p>
        </w:tc>
        <w:tc>
          <w:tcPr>
            <w:tcW w:w="963" w:type="dxa"/>
            <w:vAlign w:val="center"/>
          </w:tcPr>
          <w:p w14:paraId="78B1E0E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727F26E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7826AEB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0EC4D3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7EA090D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2AA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1" w:type="dxa"/>
            <w:vAlign w:val="center"/>
          </w:tcPr>
          <w:p w14:paraId="0674D73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档口</w:t>
            </w:r>
          </w:p>
        </w:tc>
        <w:tc>
          <w:tcPr>
            <w:tcW w:w="1520" w:type="dxa"/>
            <w:vAlign w:val="center"/>
          </w:tcPr>
          <w:p w14:paraId="0C2CAC7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外面玻璃</w:t>
            </w:r>
          </w:p>
        </w:tc>
        <w:tc>
          <w:tcPr>
            <w:tcW w:w="2967" w:type="dxa"/>
            <w:vAlign w:val="center"/>
          </w:tcPr>
          <w:p w14:paraId="6BF5552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无油渍、光亮</w:t>
            </w:r>
          </w:p>
        </w:tc>
        <w:tc>
          <w:tcPr>
            <w:tcW w:w="963" w:type="dxa"/>
            <w:vAlign w:val="center"/>
          </w:tcPr>
          <w:p w14:paraId="704AC82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641BFD3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30F8552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742772D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42C62DA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4FED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4AC77D4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吊</w:t>
            </w:r>
          </w:p>
          <w:p w14:paraId="5D7ED22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顶</w:t>
            </w:r>
          </w:p>
        </w:tc>
        <w:tc>
          <w:tcPr>
            <w:tcW w:w="1520" w:type="dxa"/>
            <w:vAlign w:val="center"/>
          </w:tcPr>
          <w:p w14:paraId="47A751D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吊顶</w:t>
            </w:r>
          </w:p>
        </w:tc>
        <w:tc>
          <w:tcPr>
            <w:tcW w:w="2967" w:type="dxa"/>
            <w:vAlign w:val="center"/>
          </w:tcPr>
          <w:p w14:paraId="3B2A9F1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无蜘蛛网、无明显积尘、无污渍</w:t>
            </w:r>
          </w:p>
        </w:tc>
        <w:tc>
          <w:tcPr>
            <w:tcW w:w="963" w:type="dxa"/>
            <w:vAlign w:val="center"/>
          </w:tcPr>
          <w:p w14:paraId="43ED126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0FECAE7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0B33FD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5B771C2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掸尘</w:t>
            </w:r>
          </w:p>
        </w:tc>
        <w:tc>
          <w:tcPr>
            <w:tcW w:w="617" w:type="dxa"/>
            <w:vAlign w:val="center"/>
          </w:tcPr>
          <w:p w14:paraId="12FF04D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21B2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7BD5182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61A3B81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灯具、风口</w:t>
            </w:r>
          </w:p>
        </w:tc>
        <w:tc>
          <w:tcPr>
            <w:tcW w:w="2967" w:type="dxa"/>
            <w:vAlign w:val="center"/>
          </w:tcPr>
          <w:p w14:paraId="3936BB6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无脱落、无虫尸、无明显积尘</w:t>
            </w:r>
          </w:p>
        </w:tc>
        <w:tc>
          <w:tcPr>
            <w:tcW w:w="963" w:type="dxa"/>
            <w:vAlign w:val="center"/>
          </w:tcPr>
          <w:p w14:paraId="234EA07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7E9673A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514355C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67D5ABF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617" w:type="dxa"/>
            <w:vAlign w:val="center"/>
          </w:tcPr>
          <w:p w14:paraId="32C2620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49B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532D072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w:t>
            </w:r>
          </w:p>
        </w:tc>
        <w:tc>
          <w:tcPr>
            <w:tcW w:w="1520" w:type="dxa"/>
            <w:vAlign w:val="center"/>
          </w:tcPr>
          <w:p w14:paraId="25004D0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门表面</w:t>
            </w:r>
          </w:p>
        </w:tc>
        <w:tc>
          <w:tcPr>
            <w:tcW w:w="2967" w:type="dxa"/>
            <w:vAlign w:val="center"/>
          </w:tcPr>
          <w:p w14:paraId="230D388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无污渍、无积尘、无手印</w:t>
            </w:r>
          </w:p>
        </w:tc>
        <w:tc>
          <w:tcPr>
            <w:tcW w:w="963" w:type="dxa"/>
            <w:vAlign w:val="center"/>
          </w:tcPr>
          <w:p w14:paraId="76CB636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7E28ACC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4F3A9FD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7D6B82E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F2AA72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44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3D54B5F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0B9C239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门锁、吸、闭门器</w:t>
            </w:r>
          </w:p>
        </w:tc>
        <w:tc>
          <w:tcPr>
            <w:tcW w:w="2967" w:type="dxa"/>
            <w:vAlign w:val="center"/>
          </w:tcPr>
          <w:p w14:paraId="2B15C47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无胶带印，无污渍、积尘</w:t>
            </w:r>
          </w:p>
        </w:tc>
        <w:tc>
          <w:tcPr>
            <w:tcW w:w="963" w:type="dxa"/>
            <w:vAlign w:val="center"/>
          </w:tcPr>
          <w:p w14:paraId="072C97B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02E00AF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3437620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0C74137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0FC0628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669D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0C28BCD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w:t>
            </w:r>
          </w:p>
        </w:tc>
        <w:tc>
          <w:tcPr>
            <w:tcW w:w="1520" w:type="dxa"/>
            <w:vAlign w:val="center"/>
          </w:tcPr>
          <w:p w14:paraId="2213F73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窗台</w:t>
            </w:r>
          </w:p>
        </w:tc>
        <w:tc>
          <w:tcPr>
            <w:tcW w:w="2967" w:type="dxa"/>
            <w:vAlign w:val="center"/>
          </w:tcPr>
          <w:p w14:paraId="318574D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w:t>
            </w:r>
          </w:p>
        </w:tc>
        <w:tc>
          <w:tcPr>
            <w:tcW w:w="963" w:type="dxa"/>
            <w:vAlign w:val="center"/>
          </w:tcPr>
          <w:p w14:paraId="09B7473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430F311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4CC3DC4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72FCC90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106944A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4F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01A3790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6390935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窗架</w:t>
            </w:r>
          </w:p>
        </w:tc>
        <w:tc>
          <w:tcPr>
            <w:tcW w:w="2967" w:type="dxa"/>
            <w:vAlign w:val="center"/>
          </w:tcPr>
          <w:p w14:paraId="3194AD0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无胶带印、无指印</w:t>
            </w:r>
          </w:p>
        </w:tc>
        <w:tc>
          <w:tcPr>
            <w:tcW w:w="963" w:type="dxa"/>
            <w:vAlign w:val="center"/>
          </w:tcPr>
          <w:p w14:paraId="3CAE1CF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3E68228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733E60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47" w:type="dxa"/>
            <w:vAlign w:val="center"/>
          </w:tcPr>
          <w:p w14:paraId="0023F7E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5D1CCA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24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3F56E31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3620D6A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窗玻璃</w:t>
            </w:r>
          </w:p>
        </w:tc>
        <w:tc>
          <w:tcPr>
            <w:tcW w:w="2967" w:type="dxa"/>
            <w:vAlign w:val="center"/>
          </w:tcPr>
          <w:p w14:paraId="057C53C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光亮、无水迹、无胶带印</w:t>
            </w:r>
          </w:p>
        </w:tc>
        <w:tc>
          <w:tcPr>
            <w:tcW w:w="963" w:type="dxa"/>
            <w:vAlign w:val="center"/>
          </w:tcPr>
          <w:p w14:paraId="5F98773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7CE70A7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F3C61E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刮拭</w:t>
            </w:r>
          </w:p>
        </w:tc>
        <w:tc>
          <w:tcPr>
            <w:tcW w:w="747" w:type="dxa"/>
            <w:vAlign w:val="center"/>
          </w:tcPr>
          <w:p w14:paraId="6AC75D5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6050DA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A9C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07F96C9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3E02007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窗帘、纱窗</w:t>
            </w:r>
          </w:p>
        </w:tc>
        <w:tc>
          <w:tcPr>
            <w:tcW w:w="2967" w:type="dxa"/>
            <w:vAlign w:val="center"/>
          </w:tcPr>
          <w:p w14:paraId="20D467C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w:t>
            </w:r>
          </w:p>
        </w:tc>
        <w:tc>
          <w:tcPr>
            <w:tcW w:w="963" w:type="dxa"/>
            <w:vAlign w:val="center"/>
          </w:tcPr>
          <w:p w14:paraId="4125D4E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4D53994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5584D5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725CFAD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617" w:type="dxa"/>
            <w:vAlign w:val="center"/>
          </w:tcPr>
          <w:p w14:paraId="7CE155A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643D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tcBorders>
              <w:bottom w:val="single" w:color="auto" w:sz="4" w:space="0"/>
            </w:tcBorders>
            <w:vAlign w:val="center"/>
          </w:tcPr>
          <w:p w14:paraId="3B89457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室内</w:t>
            </w:r>
          </w:p>
          <w:p w14:paraId="4475BE7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地面</w:t>
            </w:r>
          </w:p>
        </w:tc>
        <w:tc>
          <w:tcPr>
            <w:tcW w:w="1520" w:type="dxa"/>
            <w:tcBorders>
              <w:bottom w:val="single" w:color="auto" w:sz="4" w:space="0"/>
            </w:tcBorders>
            <w:vAlign w:val="center"/>
          </w:tcPr>
          <w:p w14:paraId="41F5832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2967" w:type="dxa"/>
            <w:tcBorders>
              <w:bottom w:val="single" w:color="auto" w:sz="4" w:space="0"/>
            </w:tcBorders>
            <w:vAlign w:val="center"/>
          </w:tcPr>
          <w:p w14:paraId="5530F95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无垃圾、无污渍、无积尘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无明显脚印、无水迹，保持整洁</w:t>
            </w:r>
          </w:p>
        </w:tc>
        <w:tc>
          <w:tcPr>
            <w:tcW w:w="963" w:type="dxa"/>
            <w:tcBorders>
              <w:bottom w:val="single" w:color="auto" w:sz="4" w:space="0"/>
            </w:tcBorders>
            <w:vAlign w:val="center"/>
          </w:tcPr>
          <w:p w14:paraId="23E4C81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推尘</w:t>
            </w:r>
          </w:p>
        </w:tc>
        <w:tc>
          <w:tcPr>
            <w:tcW w:w="1017" w:type="dxa"/>
            <w:tcBorders>
              <w:bottom w:val="single" w:color="auto" w:sz="4" w:space="0"/>
            </w:tcBorders>
            <w:vAlign w:val="center"/>
          </w:tcPr>
          <w:p w14:paraId="615B4B0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墩4次</w:t>
            </w:r>
          </w:p>
        </w:tc>
        <w:tc>
          <w:tcPr>
            <w:tcW w:w="796" w:type="dxa"/>
            <w:vAlign w:val="center"/>
          </w:tcPr>
          <w:p w14:paraId="608EEDB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CA7DA8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98D1B8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清洗</w:t>
            </w:r>
          </w:p>
        </w:tc>
      </w:tr>
      <w:tr w14:paraId="38FF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tcBorders>
              <w:top w:val="single" w:color="auto" w:sz="4" w:space="0"/>
              <w:left w:val="single" w:color="auto" w:sz="4" w:space="0"/>
              <w:bottom w:val="single" w:color="auto" w:sz="4" w:space="0"/>
              <w:right w:val="single" w:color="auto" w:sz="4" w:space="0"/>
            </w:tcBorders>
            <w:vAlign w:val="center"/>
          </w:tcPr>
          <w:p w14:paraId="5E41CD9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楼梯</w:t>
            </w:r>
          </w:p>
          <w:p w14:paraId="70F734E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走廊</w:t>
            </w:r>
          </w:p>
          <w:p w14:paraId="2B9D462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通道</w:t>
            </w:r>
          </w:p>
        </w:tc>
        <w:tc>
          <w:tcPr>
            <w:tcW w:w="1520" w:type="dxa"/>
            <w:tcBorders>
              <w:top w:val="single" w:color="auto" w:sz="4" w:space="0"/>
              <w:left w:val="single" w:color="auto" w:sz="4" w:space="0"/>
              <w:bottom w:val="single" w:color="auto" w:sz="4" w:space="0"/>
              <w:right w:val="single" w:color="auto" w:sz="4" w:space="0"/>
            </w:tcBorders>
            <w:vAlign w:val="center"/>
          </w:tcPr>
          <w:p w14:paraId="6BBB7AA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栏杆</w:t>
            </w:r>
          </w:p>
        </w:tc>
        <w:tc>
          <w:tcPr>
            <w:tcW w:w="2967" w:type="dxa"/>
            <w:tcBorders>
              <w:top w:val="single" w:color="auto" w:sz="4" w:space="0"/>
              <w:left w:val="single" w:color="auto" w:sz="4" w:space="0"/>
              <w:bottom w:val="single" w:color="auto" w:sz="4" w:space="0"/>
              <w:right w:val="single" w:color="auto" w:sz="4" w:space="0"/>
            </w:tcBorders>
            <w:vAlign w:val="center"/>
          </w:tcPr>
          <w:p w14:paraId="0637BE7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干净、无污渍、无积尘</w:t>
            </w:r>
          </w:p>
        </w:tc>
        <w:tc>
          <w:tcPr>
            <w:tcW w:w="963" w:type="dxa"/>
            <w:tcBorders>
              <w:top w:val="single" w:color="auto" w:sz="4" w:space="0"/>
              <w:left w:val="single" w:color="auto" w:sz="4" w:space="0"/>
              <w:bottom w:val="single" w:color="auto" w:sz="4" w:space="0"/>
              <w:right w:val="single" w:color="auto" w:sz="4" w:space="0"/>
            </w:tcBorders>
            <w:vAlign w:val="center"/>
          </w:tcPr>
          <w:p w14:paraId="065BF94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tcBorders>
              <w:top w:val="single" w:color="auto" w:sz="4" w:space="0"/>
              <w:left w:val="single" w:color="auto" w:sz="4" w:space="0"/>
              <w:bottom w:val="single" w:color="auto" w:sz="4" w:space="0"/>
              <w:right w:val="single" w:color="auto" w:sz="4" w:space="0"/>
            </w:tcBorders>
            <w:vAlign w:val="center"/>
          </w:tcPr>
          <w:p w14:paraId="2C0E00E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tcBorders>
              <w:left w:val="single" w:color="auto" w:sz="4" w:space="0"/>
            </w:tcBorders>
            <w:vAlign w:val="center"/>
          </w:tcPr>
          <w:p w14:paraId="06342DB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5B86634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260ECE5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15DD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tcBorders>
              <w:top w:val="single" w:color="auto" w:sz="4" w:space="0"/>
              <w:left w:val="single" w:color="auto" w:sz="4" w:space="0"/>
              <w:bottom w:val="single" w:color="auto" w:sz="4" w:space="0"/>
              <w:right w:val="single" w:color="auto" w:sz="4" w:space="0"/>
            </w:tcBorders>
            <w:vAlign w:val="center"/>
          </w:tcPr>
          <w:p w14:paraId="67D479E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tcBorders>
              <w:top w:val="single" w:color="auto" w:sz="4" w:space="0"/>
              <w:left w:val="single" w:color="auto" w:sz="4" w:space="0"/>
              <w:bottom w:val="single" w:color="auto" w:sz="4" w:space="0"/>
              <w:right w:val="single" w:color="auto" w:sz="4" w:space="0"/>
            </w:tcBorders>
            <w:vAlign w:val="center"/>
          </w:tcPr>
          <w:p w14:paraId="0068544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玻璃</w:t>
            </w:r>
          </w:p>
        </w:tc>
        <w:tc>
          <w:tcPr>
            <w:tcW w:w="2967" w:type="dxa"/>
            <w:tcBorders>
              <w:top w:val="single" w:color="auto" w:sz="4" w:space="0"/>
              <w:left w:val="single" w:color="auto" w:sz="4" w:space="0"/>
              <w:bottom w:val="single" w:color="auto" w:sz="4" w:space="0"/>
              <w:right w:val="single" w:color="auto" w:sz="4" w:space="0"/>
            </w:tcBorders>
            <w:vAlign w:val="center"/>
          </w:tcPr>
          <w:p w14:paraId="09DA587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光亮、无水迹、无印痕</w:t>
            </w:r>
          </w:p>
        </w:tc>
        <w:tc>
          <w:tcPr>
            <w:tcW w:w="963" w:type="dxa"/>
            <w:tcBorders>
              <w:top w:val="single" w:color="auto" w:sz="4" w:space="0"/>
              <w:left w:val="single" w:color="auto" w:sz="4" w:space="0"/>
              <w:bottom w:val="single" w:color="auto" w:sz="4" w:space="0"/>
              <w:right w:val="single" w:color="auto" w:sz="4" w:space="0"/>
            </w:tcBorders>
            <w:vAlign w:val="center"/>
          </w:tcPr>
          <w:p w14:paraId="28A07E5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tcBorders>
              <w:top w:val="single" w:color="auto" w:sz="4" w:space="0"/>
              <w:left w:val="single" w:color="auto" w:sz="4" w:space="0"/>
              <w:bottom w:val="single" w:color="auto" w:sz="4" w:space="0"/>
              <w:right w:val="single" w:color="auto" w:sz="4" w:space="0"/>
            </w:tcBorders>
            <w:vAlign w:val="center"/>
          </w:tcPr>
          <w:p w14:paraId="44C8B1C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tcBorders>
              <w:left w:val="single" w:color="auto" w:sz="4" w:space="0"/>
            </w:tcBorders>
            <w:vAlign w:val="center"/>
          </w:tcPr>
          <w:p w14:paraId="643E514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刮拭</w:t>
            </w:r>
          </w:p>
        </w:tc>
        <w:tc>
          <w:tcPr>
            <w:tcW w:w="747" w:type="dxa"/>
            <w:vAlign w:val="center"/>
          </w:tcPr>
          <w:p w14:paraId="4445D92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7FC490B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27A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tcBorders>
              <w:top w:val="single" w:color="auto" w:sz="4" w:space="0"/>
              <w:left w:val="single" w:color="auto" w:sz="4" w:space="0"/>
              <w:bottom w:val="single" w:color="auto" w:sz="4" w:space="0"/>
              <w:right w:val="single" w:color="auto" w:sz="4" w:space="0"/>
            </w:tcBorders>
            <w:vAlign w:val="center"/>
          </w:tcPr>
          <w:p w14:paraId="61E54B1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tcBorders>
              <w:top w:val="single" w:color="auto" w:sz="4" w:space="0"/>
              <w:left w:val="single" w:color="auto" w:sz="4" w:space="0"/>
              <w:bottom w:val="single" w:color="auto" w:sz="4" w:space="0"/>
              <w:right w:val="single" w:color="auto" w:sz="4" w:space="0"/>
            </w:tcBorders>
            <w:vAlign w:val="center"/>
          </w:tcPr>
          <w:p w14:paraId="3692376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台阶</w:t>
            </w:r>
          </w:p>
        </w:tc>
        <w:tc>
          <w:tcPr>
            <w:tcW w:w="2967" w:type="dxa"/>
            <w:tcBorders>
              <w:top w:val="single" w:color="auto" w:sz="4" w:space="0"/>
              <w:left w:val="single" w:color="auto" w:sz="4" w:space="0"/>
              <w:bottom w:val="single" w:color="auto" w:sz="4" w:space="0"/>
              <w:right w:val="single" w:color="auto" w:sz="4" w:space="0"/>
            </w:tcBorders>
            <w:vAlign w:val="center"/>
          </w:tcPr>
          <w:p w14:paraId="7F30200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无污迹、无明显脚印、无垃圾</w:t>
            </w:r>
          </w:p>
        </w:tc>
        <w:tc>
          <w:tcPr>
            <w:tcW w:w="963" w:type="dxa"/>
            <w:tcBorders>
              <w:top w:val="single" w:color="auto" w:sz="4" w:space="0"/>
              <w:left w:val="single" w:color="auto" w:sz="4" w:space="0"/>
              <w:bottom w:val="single" w:color="auto" w:sz="4" w:space="0"/>
              <w:right w:val="single" w:color="auto" w:sz="4" w:space="0"/>
            </w:tcBorders>
            <w:vAlign w:val="center"/>
          </w:tcPr>
          <w:p w14:paraId="1577B6B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1017" w:type="dxa"/>
            <w:tcBorders>
              <w:top w:val="single" w:color="auto" w:sz="4" w:space="0"/>
              <w:left w:val="single" w:color="auto" w:sz="4" w:space="0"/>
              <w:bottom w:val="single" w:color="auto" w:sz="4" w:space="0"/>
              <w:right w:val="single" w:color="auto" w:sz="4" w:space="0"/>
            </w:tcBorders>
            <w:vAlign w:val="center"/>
          </w:tcPr>
          <w:p w14:paraId="50B61DB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墩2次</w:t>
            </w:r>
          </w:p>
        </w:tc>
        <w:tc>
          <w:tcPr>
            <w:tcW w:w="796" w:type="dxa"/>
            <w:tcBorders>
              <w:left w:val="single" w:color="auto" w:sz="4" w:space="0"/>
            </w:tcBorders>
            <w:vAlign w:val="center"/>
          </w:tcPr>
          <w:p w14:paraId="682FD2C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FB3B69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4904BD3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1797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tcBorders>
              <w:top w:val="single" w:color="auto" w:sz="4" w:space="0"/>
            </w:tcBorders>
            <w:vAlign w:val="center"/>
          </w:tcPr>
          <w:p w14:paraId="7BBC74C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tcBorders>
              <w:top w:val="single" w:color="auto" w:sz="4" w:space="0"/>
            </w:tcBorders>
            <w:vAlign w:val="center"/>
          </w:tcPr>
          <w:p w14:paraId="25B0240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扶手</w:t>
            </w:r>
          </w:p>
        </w:tc>
        <w:tc>
          <w:tcPr>
            <w:tcW w:w="2967" w:type="dxa"/>
            <w:tcBorders>
              <w:top w:val="single" w:color="auto" w:sz="4" w:space="0"/>
            </w:tcBorders>
            <w:vAlign w:val="center"/>
          </w:tcPr>
          <w:p w14:paraId="7F0CDDE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干净、无污渍、无积尘</w:t>
            </w:r>
          </w:p>
        </w:tc>
        <w:tc>
          <w:tcPr>
            <w:tcW w:w="963" w:type="dxa"/>
            <w:tcBorders>
              <w:top w:val="single" w:color="auto" w:sz="4" w:space="0"/>
            </w:tcBorders>
            <w:vAlign w:val="center"/>
          </w:tcPr>
          <w:p w14:paraId="727FD7A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tcBorders>
              <w:top w:val="single" w:color="auto" w:sz="4" w:space="0"/>
            </w:tcBorders>
            <w:vAlign w:val="center"/>
          </w:tcPr>
          <w:p w14:paraId="2D3A4B3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796" w:type="dxa"/>
            <w:vAlign w:val="center"/>
          </w:tcPr>
          <w:p w14:paraId="563A471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3322A6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0CEB188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18BA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7B4FA7B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06E03E0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踢脚线</w:t>
            </w:r>
          </w:p>
        </w:tc>
        <w:tc>
          <w:tcPr>
            <w:tcW w:w="2967" w:type="dxa"/>
            <w:vAlign w:val="center"/>
          </w:tcPr>
          <w:p w14:paraId="707DC76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无污渍、无明显积尘</w:t>
            </w:r>
          </w:p>
        </w:tc>
        <w:tc>
          <w:tcPr>
            <w:tcW w:w="963" w:type="dxa"/>
            <w:vAlign w:val="center"/>
          </w:tcPr>
          <w:p w14:paraId="4C36D19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633D213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796" w:type="dxa"/>
            <w:vAlign w:val="center"/>
          </w:tcPr>
          <w:p w14:paraId="77CFDCA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182EBC6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EBD551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11C0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59F20A0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1F3FD9A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墙壁</w:t>
            </w:r>
          </w:p>
        </w:tc>
        <w:tc>
          <w:tcPr>
            <w:tcW w:w="2967" w:type="dxa"/>
            <w:vAlign w:val="center"/>
          </w:tcPr>
          <w:p w14:paraId="50151CD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无污渍、无明显积尘、无印痕</w:t>
            </w:r>
          </w:p>
        </w:tc>
        <w:tc>
          <w:tcPr>
            <w:tcW w:w="963" w:type="dxa"/>
            <w:vAlign w:val="center"/>
          </w:tcPr>
          <w:p w14:paraId="6785D25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6F9EA5B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5ABC68E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掸尘</w:t>
            </w:r>
          </w:p>
        </w:tc>
        <w:tc>
          <w:tcPr>
            <w:tcW w:w="747" w:type="dxa"/>
            <w:vAlign w:val="center"/>
          </w:tcPr>
          <w:p w14:paraId="6BFF8CC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1A1CF21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801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02ED6BA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p w14:paraId="35685DC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p w14:paraId="4AAFC24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p w14:paraId="6BE99A6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p w14:paraId="4114208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洗</w:t>
            </w:r>
          </w:p>
          <w:p w14:paraId="4A57237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手</w:t>
            </w:r>
          </w:p>
          <w:p w14:paraId="16D8FB1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间</w:t>
            </w:r>
          </w:p>
        </w:tc>
        <w:tc>
          <w:tcPr>
            <w:tcW w:w="1520" w:type="dxa"/>
            <w:vAlign w:val="center"/>
          </w:tcPr>
          <w:p w14:paraId="165BAFE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灯箱</w:t>
            </w:r>
          </w:p>
        </w:tc>
        <w:tc>
          <w:tcPr>
            <w:tcW w:w="2967" w:type="dxa"/>
            <w:vAlign w:val="center"/>
          </w:tcPr>
          <w:p w14:paraId="20F9AFA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w:t>
            </w:r>
          </w:p>
        </w:tc>
        <w:tc>
          <w:tcPr>
            <w:tcW w:w="963" w:type="dxa"/>
            <w:vAlign w:val="center"/>
          </w:tcPr>
          <w:p w14:paraId="2BA74EC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7B1E3E7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220C32D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47" w:type="dxa"/>
            <w:vAlign w:val="center"/>
          </w:tcPr>
          <w:p w14:paraId="34851B2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593B950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2C46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1C3C602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404020C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换气扇</w:t>
            </w:r>
          </w:p>
        </w:tc>
        <w:tc>
          <w:tcPr>
            <w:tcW w:w="2967" w:type="dxa"/>
            <w:vAlign w:val="center"/>
          </w:tcPr>
          <w:p w14:paraId="49F5394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无明显积尘</w:t>
            </w:r>
          </w:p>
        </w:tc>
        <w:tc>
          <w:tcPr>
            <w:tcW w:w="963" w:type="dxa"/>
            <w:vAlign w:val="center"/>
          </w:tcPr>
          <w:p w14:paraId="64BB1EE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6C1D67A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7CCB0A8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47" w:type="dxa"/>
            <w:vAlign w:val="center"/>
          </w:tcPr>
          <w:p w14:paraId="1359E49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77226B2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58F4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71E0E31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09CA83B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洗手盆</w:t>
            </w:r>
          </w:p>
        </w:tc>
        <w:tc>
          <w:tcPr>
            <w:tcW w:w="2967" w:type="dxa"/>
            <w:vAlign w:val="center"/>
          </w:tcPr>
          <w:p w14:paraId="2F8B020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干净、无污渍</w:t>
            </w:r>
          </w:p>
        </w:tc>
        <w:tc>
          <w:tcPr>
            <w:tcW w:w="963" w:type="dxa"/>
            <w:vAlign w:val="center"/>
          </w:tcPr>
          <w:p w14:paraId="1E2349B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清理</w:t>
            </w:r>
          </w:p>
        </w:tc>
        <w:tc>
          <w:tcPr>
            <w:tcW w:w="1017" w:type="dxa"/>
            <w:vAlign w:val="center"/>
          </w:tcPr>
          <w:p w14:paraId="652ED88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44306B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0F17375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0BFA3DE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3A3A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6221CFA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1D20E38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台面</w:t>
            </w:r>
          </w:p>
        </w:tc>
        <w:tc>
          <w:tcPr>
            <w:tcW w:w="2967" w:type="dxa"/>
            <w:vAlign w:val="center"/>
          </w:tcPr>
          <w:p w14:paraId="52B2DFB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无污渍、无水迹</w:t>
            </w:r>
          </w:p>
        </w:tc>
        <w:tc>
          <w:tcPr>
            <w:tcW w:w="963" w:type="dxa"/>
            <w:vAlign w:val="center"/>
          </w:tcPr>
          <w:p w14:paraId="398A35F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1017" w:type="dxa"/>
            <w:vAlign w:val="center"/>
          </w:tcPr>
          <w:p w14:paraId="72BA93E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566F516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239844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74F20B8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493A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4F116CA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2224056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镜面</w:t>
            </w:r>
          </w:p>
        </w:tc>
        <w:tc>
          <w:tcPr>
            <w:tcW w:w="2967" w:type="dxa"/>
            <w:vAlign w:val="center"/>
          </w:tcPr>
          <w:p w14:paraId="190A036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光亮、无污渍、无水迹</w:t>
            </w:r>
          </w:p>
        </w:tc>
        <w:tc>
          <w:tcPr>
            <w:tcW w:w="963" w:type="dxa"/>
            <w:vAlign w:val="center"/>
          </w:tcPr>
          <w:p w14:paraId="7919467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刮拭</w:t>
            </w:r>
          </w:p>
        </w:tc>
        <w:tc>
          <w:tcPr>
            <w:tcW w:w="1017" w:type="dxa"/>
            <w:vAlign w:val="center"/>
          </w:tcPr>
          <w:p w14:paraId="51AA9AD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627D341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26AFB53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0945975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4E6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344B962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05AD2A6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水池</w:t>
            </w:r>
          </w:p>
        </w:tc>
        <w:tc>
          <w:tcPr>
            <w:tcW w:w="2967" w:type="dxa"/>
            <w:vAlign w:val="center"/>
          </w:tcPr>
          <w:p w14:paraId="225676E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无污渍、无垃圾、不堵塞</w:t>
            </w:r>
          </w:p>
        </w:tc>
        <w:tc>
          <w:tcPr>
            <w:tcW w:w="963" w:type="dxa"/>
            <w:vAlign w:val="center"/>
          </w:tcPr>
          <w:p w14:paraId="25F7A27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清理</w:t>
            </w:r>
          </w:p>
        </w:tc>
        <w:tc>
          <w:tcPr>
            <w:tcW w:w="1017" w:type="dxa"/>
            <w:vAlign w:val="center"/>
          </w:tcPr>
          <w:p w14:paraId="72A8DB7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7ACBA30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1F51B63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20CE64D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205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178157A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32F967E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水龙头</w:t>
            </w:r>
          </w:p>
        </w:tc>
        <w:tc>
          <w:tcPr>
            <w:tcW w:w="2967" w:type="dxa"/>
            <w:vAlign w:val="center"/>
          </w:tcPr>
          <w:p w14:paraId="300153B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光亮、无污渍</w:t>
            </w:r>
          </w:p>
        </w:tc>
        <w:tc>
          <w:tcPr>
            <w:tcW w:w="963" w:type="dxa"/>
            <w:vAlign w:val="center"/>
          </w:tcPr>
          <w:p w14:paraId="74C5114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1017" w:type="dxa"/>
            <w:vAlign w:val="center"/>
          </w:tcPr>
          <w:p w14:paraId="49ED35A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23CC864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1CA3503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28EF211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53C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03DF0C4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bottom"/>
          </w:tcPr>
          <w:p w14:paraId="5FA59CE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隔板</w:t>
            </w:r>
          </w:p>
        </w:tc>
        <w:tc>
          <w:tcPr>
            <w:tcW w:w="2967" w:type="dxa"/>
            <w:vAlign w:val="bottom"/>
          </w:tcPr>
          <w:p w14:paraId="7D7B933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w:t>
            </w:r>
          </w:p>
        </w:tc>
        <w:tc>
          <w:tcPr>
            <w:tcW w:w="963" w:type="dxa"/>
            <w:vAlign w:val="bottom"/>
          </w:tcPr>
          <w:p w14:paraId="316A22C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bottom"/>
          </w:tcPr>
          <w:p w14:paraId="6F0B2E8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bottom"/>
          </w:tcPr>
          <w:p w14:paraId="5452067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747" w:type="dxa"/>
            <w:vAlign w:val="bottom"/>
          </w:tcPr>
          <w:p w14:paraId="3E589CE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bottom"/>
          </w:tcPr>
          <w:p w14:paraId="12E5658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3709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3361000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538F3B7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吊顶</w:t>
            </w:r>
          </w:p>
        </w:tc>
        <w:tc>
          <w:tcPr>
            <w:tcW w:w="2967" w:type="dxa"/>
            <w:vAlign w:val="center"/>
          </w:tcPr>
          <w:p w14:paraId="0C6BEE3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无污渍、无积尘、无蜘蛛网</w:t>
            </w:r>
          </w:p>
        </w:tc>
        <w:tc>
          <w:tcPr>
            <w:tcW w:w="963" w:type="dxa"/>
            <w:vAlign w:val="center"/>
          </w:tcPr>
          <w:p w14:paraId="33E3608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1C3A689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1FC84FF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6E0920A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掸尘</w:t>
            </w:r>
          </w:p>
        </w:tc>
        <w:tc>
          <w:tcPr>
            <w:tcW w:w="617" w:type="dxa"/>
            <w:vAlign w:val="center"/>
          </w:tcPr>
          <w:p w14:paraId="2A5F3BD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3652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7A73E4B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18E7539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地面</w:t>
            </w:r>
          </w:p>
        </w:tc>
        <w:tc>
          <w:tcPr>
            <w:tcW w:w="2967" w:type="dxa"/>
            <w:vAlign w:val="center"/>
          </w:tcPr>
          <w:p w14:paraId="10B9726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无污渍、水迹，无脚印、垃圾</w:t>
            </w:r>
          </w:p>
        </w:tc>
        <w:tc>
          <w:tcPr>
            <w:tcW w:w="963" w:type="dxa"/>
            <w:vAlign w:val="center"/>
          </w:tcPr>
          <w:p w14:paraId="449EB15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w:t>
            </w:r>
          </w:p>
        </w:tc>
        <w:tc>
          <w:tcPr>
            <w:tcW w:w="1017" w:type="dxa"/>
            <w:vAlign w:val="center"/>
          </w:tcPr>
          <w:p w14:paraId="77D5B61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13C7836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DB4D2C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14A977D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6B51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Align w:val="center"/>
          </w:tcPr>
          <w:p w14:paraId="145681B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公用</w:t>
            </w:r>
          </w:p>
          <w:p w14:paraId="169D0B9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餐具</w:t>
            </w:r>
          </w:p>
        </w:tc>
        <w:tc>
          <w:tcPr>
            <w:tcW w:w="1520" w:type="dxa"/>
            <w:vAlign w:val="center"/>
          </w:tcPr>
          <w:p w14:paraId="71473AC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餐具</w:t>
            </w:r>
          </w:p>
        </w:tc>
        <w:tc>
          <w:tcPr>
            <w:tcW w:w="2967" w:type="dxa"/>
            <w:vAlign w:val="center"/>
          </w:tcPr>
          <w:p w14:paraId="0290026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光、洁、涩、干</w:t>
            </w:r>
          </w:p>
        </w:tc>
        <w:tc>
          <w:tcPr>
            <w:tcW w:w="963" w:type="dxa"/>
            <w:vAlign w:val="center"/>
          </w:tcPr>
          <w:p w14:paraId="40CB746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清洁消杀</w:t>
            </w:r>
          </w:p>
        </w:tc>
        <w:tc>
          <w:tcPr>
            <w:tcW w:w="1017" w:type="dxa"/>
            <w:vAlign w:val="center"/>
          </w:tcPr>
          <w:p w14:paraId="05785FB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0A6C55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CC31E0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22F300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390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vAlign w:val="center"/>
          </w:tcPr>
          <w:p w14:paraId="7B90ACF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洗消间</w:t>
            </w:r>
          </w:p>
        </w:tc>
        <w:tc>
          <w:tcPr>
            <w:tcW w:w="1520" w:type="dxa"/>
            <w:vAlign w:val="center"/>
          </w:tcPr>
          <w:p w14:paraId="67CF9D7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洗碗机、消毒柜、洗筷子机</w:t>
            </w:r>
          </w:p>
        </w:tc>
        <w:tc>
          <w:tcPr>
            <w:tcW w:w="2967" w:type="dxa"/>
            <w:vAlign w:val="center"/>
          </w:tcPr>
          <w:p w14:paraId="1073BA0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日常随时清理</w:t>
            </w:r>
          </w:p>
        </w:tc>
        <w:tc>
          <w:tcPr>
            <w:tcW w:w="963" w:type="dxa"/>
            <w:vAlign w:val="center"/>
          </w:tcPr>
          <w:p w14:paraId="7EDC97F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清洁消杀</w:t>
            </w:r>
          </w:p>
        </w:tc>
        <w:tc>
          <w:tcPr>
            <w:tcW w:w="1017" w:type="dxa"/>
            <w:vAlign w:val="center"/>
          </w:tcPr>
          <w:p w14:paraId="6E25BF6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2A7B22EA">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102DC465">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6A66A56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68E8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6BC96B4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1255F76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门窗玻璃、墙面、地面天花板</w:t>
            </w:r>
          </w:p>
        </w:tc>
        <w:tc>
          <w:tcPr>
            <w:tcW w:w="2967" w:type="dxa"/>
            <w:vAlign w:val="center"/>
          </w:tcPr>
          <w:p w14:paraId="465D1DF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光亮无灰尘</w:t>
            </w:r>
          </w:p>
        </w:tc>
        <w:tc>
          <w:tcPr>
            <w:tcW w:w="963" w:type="dxa"/>
            <w:vAlign w:val="center"/>
          </w:tcPr>
          <w:p w14:paraId="74FE9E9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2B253BF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2A1FD5ED">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3FDFDE9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41E5E12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00E7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4271C46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1FB01A2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排风扇</w:t>
            </w:r>
          </w:p>
        </w:tc>
        <w:tc>
          <w:tcPr>
            <w:tcW w:w="2967" w:type="dxa"/>
            <w:vAlign w:val="center"/>
          </w:tcPr>
          <w:p w14:paraId="1871800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按规定时间开关</w:t>
            </w:r>
          </w:p>
        </w:tc>
        <w:tc>
          <w:tcPr>
            <w:tcW w:w="963" w:type="dxa"/>
            <w:vAlign w:val="center"/>
          </w:tcPr>
          <w:p w14:paraId="1D2CA4D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042083A1">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96" w:type="dxa"/>
            <w:vAlign w:val="center"/>
          </w:tcPr>
          <w:p w14:paraId="0533E51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掸尘</w:t>
            </w:r>
          </w:p>
        </w:tc>
        <w:tc>
          <w:tcPr>
            <w:tcW w:w="747" w:type="dxa"/>
            <w:vAlign w:val="center"/>
          </w:tcPr>
          <w:p w14:paraId="56E3067B">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6161037F">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2E2B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vAlign w:val="center"/>
          </w:tcPr>
          <w:p w14:paraId="5AC4547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520" w:type="dxa"/>
            <w:vAlign w:val="center"/>
          </w:tcPr>
          <w:p w14:paraId="445C0B4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公平秤</w:t>
            </w:r>
          </w:p>
        </w:tc>
        <w:tc>
          <w:tcPr>
            <w:tcW w:w="2967" w:type="dxa"/>
            <w:vAlign w:val="center"/>
          </w:tcPr>
          <w:p w14:paraId="157178B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每日清理、光亮无灰尘</w:t>
            </w:r>
          </w:p>
        </w:tc>
        <w:tc>
          <w:tcPr>
            <w:tcW w:w="963" w:type="dxa"/>
            <w:vAlign w:val="center"/>
          </w:tcPr>
          <w:p w14:paraId="44E014C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1017" w:type="dxa"/>
            <w:vAlign w:val="center"/>
          </w:tcPr>
          <w:p w14:paraId="6B6487BC">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擦拭</w:t>
            </w:r>
          </w:p>
        </w:tc>
        <w:tc>
          <w:tcPr>
            <w:tcW w:w="796" w:type="dxa"/>
            <w:vAlign w:val="center"/>
          </w:tcPr>
          <w:p w14:paraId="2A687FB9">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54FFB0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75DAD144">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r w14:paraId="149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Align w:val="center"/>
          </w:tcPr>
          <w:p w14:paraId="32BEE09E">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外围</w:t>
            </w:r>
          </w:p>
          <w:p w14:paraId="7BD923D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w:t>
            </w:r>
          </w:p>
        </w:tc>
        <w:tc>
          <w:tcPr>
            <w:tcW w:w="1520" w:type="dxa"/>
            <w:vAlign w:val="center"/>
          </w:tcPr>
          <w:p w14:paraId="646BA808">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楼顶、第一食堂西侧</w:t>
            </w:r>
            <w:r>
              <w:rPr>
                <w:rFonts w:hint="eastAsia" w:ascii="仿宋" w:hAnsi="仿宋" w:eastAsia="仿宋" w:cs="仿宋"/>
                <w:bCs/>
                <w:color w:val="auto"/>
                <w:sz w:val="24"/>
                <w:szCs w:val="24"/>
                <w:lang w:eastAsia="zh-CN"/>
              </w:rPr>
              <w:t>、第二食堂北侧</w:t>
            </w:r>
            <w:r>
              <w:rPr>
                <w:rFonts w:hint="eastAsia" w:ascii="仿宋" w:hAnsi="仿宋" w:eastAsia="仿宋" w:cs="仿宋"/>
                <w:bCs/>
                <w:color w:val="auto"/>
                <w:sz w:val="24"/>
                <w:szCs w:val="24"/>
              </w:rPr>
              <w:t>厨余废弃物和生活垃圾存放处的环境卫生保洁</w:t>
            </w:r>
          </w:p>
        </w:tc>
        <w:tc>
          <w:tcPr>
            <w:tcW w:w="2967" w:type="dxa"/>
            <w:vAlign w:val="center"/>
          </w:tcPr>
          <w:p w14:paraId="3209DF27">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每日清理、无杂物</w:t>
            </w:r>
          </w:p>
        </w:tc>
        <w:tc>
          <w:tcPr>
            <w:tcW w:w="963" w:type="dxa"/>
            <w:vAlign w:val="center"/>
          </w:tcPr>
          <w:p w14:paraId="36CB3F22">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lang w:val="en-US" w:eastAsia="zh-CN"/>
              </w:rPr>
            </w:pPr>
          </w:p>
        </w:tc>
        <w:tc>
          <w:tcPr>
            <w:tcW w:w="1017" w:type="dxa"/>
            <w:vAlign w:val="center"/>
          </w:tcPr>
          <w:p w14:paraId="6CD4D7A3">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清洁</w:t>
            </w:r>
          </w:p>
        </w:tc>
        <w:tc>
          <w:tcPr>
            <w:tcW w:w="796" w:type="dxa"/>
            <w:vAlign w:val="center"/>
          </w:tcPr>
          <w:p w14:paraId="3596A4B6">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747" w:type="dxa"/>
            <w:vAlign w:val="center"/>
          </w:tcPr>
          <w:p w14:paraId="4660645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c>
          <w:tcPr>
            <w:tcW w:w="617" w:type="dxa"/>
            <w:vAlign w:val="center"/>
          </w:tcPr>
          <w:p w14:paraId="3E622270">
            <w:pPr>
              <w:pageBreakBefore w:val="0"/>
              <w:kinsoku/>
              <w:wordWrap/>
              <w:overflowPunct/>
              <w:topLinePunct w:val="0"/>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rPr>
            </w:pPr>
          </w:p>
        </w:tc>
      </w:tr>
    </w:tbl>
    <w:p w14:paraId="69D9AF1B">
      <w:pPr>
        <w:pStyle w:val="8"/>
        <w:pageBreakBefore w:val="0"/>
        <w:tabs>
          <w:tab w:val="left" w:pos="840"/>
        </w:tabs>
        <w:kinsoku/>
        <w:wordWrap/>
        <w:overflowPunct/>
        <w:topLinePunct w:val="0"/>
        <w:autoSpaceDE/>
        <w:autoSpaceDN/>
        <w:bidi w:val="0"/>
        <w:adjustRightInd/>
        <w:snapToGrid/>
        <w:spacing w:before="0" w:after="0" w:line="360" w:lineRule="auto"/>
        <w:ind w:right="0" w:firstLine="562" w:firstLineChars="200"/>
        <w:jc w:val="left"/>
        <w:textAlignment w:val="auto"/>
        <w:outlineLvl w:val="2"/>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（三）其他服务</w:t>
      </w:r>
      <w:r>
        <w:rPr>
          <w:rFonts w:hint="eastAsia" w:ascii="仿宋" w:hAnsi="仿宋" w:eastAsia="仿宋" w:cs="仿宋"/>
          <w:color w:val="auto"/>
          <w:sz w:val="28"/>
          <w:szCs w:val="28"/>
        </w:rPr>
        <w:t>要求</w:t>
      </w:r>
    </w:p>
    <w:p w14:paraId="4C395F87">
      <w:pPr>
        <w:pageBreakBefore w:val="0"/>
        <w:kinsoku/>
        <w:wordWrap/>
        <w:overflowPunct/>
        <w:topLinePunct w:val="0"/>
        <w:autoSpaceDE/>
        <w:autoSpaceDN/>
        <w:bidi w:val="0"/>
        <w:adjustRightInd/>
        <w:snapToGrid/>
        <w:spacing w:line="360" w:lineRule="auto"/>
        <w:ind w:left="0" w:leftChars="0" w:right="0" w:firstLine="48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整体要求</w:t>
      </w:r>
    </w:p>
    <w:p w14:paraId="2A06D719">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）劳动用工要符合国家法律法规的有关规定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确保完成工作任务，确保用工人数，</w:t>
      </w:r>
      <w:r>
        <w:rPr>
          <w:rFonts w:hint="eastAsia" w:ascii="仿宋" w:hAnsi="仿宋" w:eastAsia="仿宋" w:cs="仿宋"/>
          <w:color w:val="auto"/>
          <w:sz w:val="28"/>
          <w:szCs w:val="28"/>
          <w:lang w:eastAsia="zh-CN"/>
        </w:rPr>
        <w:t>合理安排人员休息</w:t>
      </w:r>
      <w:r>
        <w:rPr>
          <w:rFonts w:hint="eastAsia" w:ascii="仿宋" w:hAnsi="仿宋" w:eastAsia="仿宋" w:cs="仿宋"/>
          <w:color w:val="auto"/>
          <w:sz w:val="28"/>
          <w:szCs w:val="28"/>
          <w:lang w:val="en-US" w:eastAsia="zh-CN"/>
        </w:rPr>
        <w:t>。</w:t>
      </w:r>
    </w:p>
    <w:p w14:paraId="4908C9C6">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）学校寒暑假，</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听从采购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假期保洁工作的安排，寒暑假期间应支付的费用按照</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到岗人数和实际到岗天数计算支付。</w:t>
      </w:r>
    </w:p>
    <w:p w14:paraId="2D9A7095">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中标人拟派</w:t>
      </w:r>
      <w:r>
        <w:rPr>
          <w:rFonts w:hint="eastAsia" w:ascii="仿宋" w:hAnsi="仿宋" w:eastAsia="仿宋" w:cs="仿宋"/>
          <w:color w:val="auto"/>
          <w:sz w:val="28"/>
          <w:szCs w:val="28"/>
        </w:rPr>
        <w:t>人员有义务服从采购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的工作安排，特殊情况下完成保洁范围以外的工作内容。如遇食堂有重要活动时，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应配合食堂积极完成任务。</w:t>
      </w:r>
    </w:p>
    <w:p w14:paraId="1D1684A8">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供应商需</w:t>
      </w:r>
      <w:r>
        <w:rPr>
          <w:rFonts w:hint="eastAsia" w:ascii="仿宋" w:hAnsi="仿宋" w:eastAsia="仿宋" w:cs="仿宋"/>
          <w:color w:val="auto"/>
          <w:sz w:val="28"/>
          <w:szCs w:val="28"/>
        </w:rPr>
        <w:t>根据采购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要求制定适合本项目的各项规章制度。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提供主要清洁工具、清洁用品、清洁剂等（具体详见</w:t>
      </w:r>
      <w:r>
        <w:rPr>
          <w:rFonts w:hint="eastAsia" w:ascii="仿宋" w:hAnsi="仿宋" w:eastAsia="仿宋" w:cs="仿宋"/>
          <w:color w:val="auto"/>
          <w:sz w:val="28"/>
          <w:szCs w:val="28"/>
          <w:lang w:eastAsia="zh-CN"/>
        </w:rPr>
        <w:t>材料清单</w:t>
      </w:r>
      <w:r>
        <w:rPr>
          <w:rFonts w:hint="eastAsia" w:ascii="仿宋" w:hAnsi="仿宋" w:eastAsia="仿宋" w:cs="仿宋"/>
          <w:color w:val="auto"/>
          <w:sz w:val="28"/>
          <w:szCs w:val="28"/>
        </w:rPr>
        <w:t>）。</w:t>
      </w:r>
    </w:p>
    <w:p w14:paraId="148F2F85">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保证保洁人员与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的劳动关系合法有效。若保洁人员与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发生劳资纠纷，由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全权负责，不能影响学校食堂的正常保洁工作。</w:t>
      </w:r>
    </w:p>
    <w:p w14:paraId="4DB41C06">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应负责办理保洁人员在郑务工的居住证等各种证件。</w:t>
      </w:r>
    </w:p>
    <w:p w14:paraId="5F15164C">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供应商保洁</w:t>
      </w:r>
      <w:r>
        <w:rPr>
          <w:rFonts w:hint="eastAsia" w:ascii="仿宋" w:hAnsi="仿宋" w:eastAsia="仿宋" w:cs="仿宋"/>
          <w:color w:val="auto"/>
          <w:sz w:val="28"/>
          <w:szCs w:val="28"/>
        </w:rPr>
        <w:t>人员应按采购方规定做好垃圾分类存放工作。</w:t>
      </w:r>
    </w:p>
    <w:p w14:paraId="236E40D8">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要建立资料的收集、分类整理、归档管理制度。在日常管理中要建立</w:t>
      </w:r>
      <w:r>
        <w:rPr>
          <w:rFonts w:hint="eastAsia" w:ascii="仿宋" w:hAnsi="仿宋" w:eastAsia="仿宋" w:cs="仿宋"/>
          <w:color w:val="auto"/>
          <w:sz w:val="28"/>
          <w:szCs w:val="28"/>
          <w:lang w:eastAsia="zh-CN"/>
        </w:rPr>
        <w:t>考勤管理档案</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晨检档案、</w:t>
      </w:r>
      <w:r>
        <w:rPr>
          <w:rFonts w:hint="eastAsia" w:ascii="仿宋" w:hAnsi="仿宋" w:eastAsia="仿宋" w:cs="仿宋"/>
          <w:color w:val="auto"/>
          <w:sz w:val="28"/>
          <w:szCs w:val="28"/>
        </w:rPr>
        <w:t>业务培训考核</w:t>
      </w:r>
      <w:r>
        <w:rPr>
          <w:rFonts w:hint="eastAsia" w:ascii="仿宋" w:hAnsi="仿宋" w:eastAsia="仿宋" w:cs="仿宋"/>
          <w:color w:val="auto"/>
          <w:sz w:val="28"/>
          <w:szCs w:val="28"/>
          <w:lang w:eastAsia="zh-CN"/>
        </w:rPr>
        <w:t>档案、工具更换档案。</w:t>
      </w:r>
    </w:p>
    <w:p w14:paraId="40AE6A67">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供应商需</w:t>
      </w:r>
      <w:r>
        <w:rPr>
          <w:rFonts w:hint="eastAsia" w:ascii="仿宋" w:hAnsi="仿宋" w:eastAsia="仿宋" w:cs="仿宋"/>
          <w:color w:val="auto"/>
          <w:sz w:val="28"/>
          <w:szCs w:val="28"/>
        </w:rPr>
        <w:t>具有良好</w:t>
      </w:r>
      <w:r>
        <w:rPr>
          <w:rFonts w:hint="eastAsia" w:ascii="仿宋" w:hAnsi="仿宋" w:eastAsia="仿宋" w:cs="仿宋"/>
          <w:color w:val="auto"/>
          <w:sz w:val="28"/>
          <w:szCs w:val="28"/>
          <w:highlight w:val="none"/>
        </w:rPr>
        <w:t>的服务保障支撑体系，能够提供规范合法、及时良好的保洁服务。</w:t>
      </w:r>
    </w:p>
    <w:p w14:paraId="4663256D">
      <w:pPr>
        <w:pageBreakBefore w:val="0"/>
        <w:kinsoku/>
        <w:wordWrap/>
        <w:overflowPunct/>
        <w:topLinePunct w:val="0"/>
        <w:autoSpaceDE/>
        <w:autoSpaceDN/>
        <w:bidi w:val="0"/>
        <w:adjustRightInd/>
        <w:snapToGrid/>
        <w:spacing w:line="360" w:lineRule="auto"/>
        <w:ind w:left="0" w:leftChars="0" w:right="0" w:firstLine="48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2.保洁人员要求</w:t>
      </w:r>
    </w:p>
    <w:p w14:paraId="7936768E">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保洁人员会说普通话，表达意思清楚，</w:t>
      </w:r>
      <w:r>
        <w:rPr>
          <w:rFonts w:hint="eastAsia" w:ascii="仿宋" w:hAnsi="仿宋" w:eastAsia="仿宋" w:cs="仿宋"/>
          <w:color w:val="auto"/>
          <w:sz w:val="28"/>
          <w:szCs w:val="28"/>
          <w:lang w:eastAsia="zh-CN"/>
        </w:rPr>
        <w:t>有基础的文字读写能力</w:t>
      </w:r>
      <w:r>
        <w:rPr>
          <w:rFonts w:hint="eastAsia" w:ascii="仿宋" w:hAnsi="仿宋" w:eastAsia="仿宋" w:cs="仿宋"/>
          <w:color w:val="auto"/>
          <w:sz w:val="28"/>
          <w:szCs w:val="28"/>
        </w:rPr>
        <w:t>，身体健康，无高危疾病。</w:t>
      </w:r>
    </w:p>
    <w:p w14:paraId="45C7CB0B">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保洁人员应品行端正、善良，捡拾非本人的物品应一律及时上交。</w:t>
      </w:r>
    </w:p>
    <w:p w14:paraId="4CD8AD58">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保洁人员需接受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培训，考核合格后正式上岗。</w:t>
      </w:r>
    </w:p>
    <w:p w14:paraId="1EF28DBF">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个人卫生做到“四勤”，勤洗手剪指甲、勤洗澡理发、勤洗衣服被褥、勤换工作服和毛巾。保洁</w:t>
      </w:r>
      <w:r>
        <w:rPr>
          <w:rFonts w:hint="eastAsia" w:ascii="仿宋" w:hAnsi="仿宋" w:eastAsia="仿宋" w:cs="仿宋"/>
          <w:color w:val="auto"/>
          <w:sz w:val="28"/>
          <w:szCs w:val="28"/>
          <w:lang w:eastAsia="zh-CN"/>
        </w:rPr>
        <w:t>班长需</w:t>
      </w:r>
      <w:r>
        <w:rPr>
          <w:rFonts w:hint="eastAsia" w:ascii="仿宋" w:hAnsi="仿宋" w:eastAsia="仿宋" w:cs="仿宋"/>
          <w:color w:val="auto"/>
          <w:sz w:val="28"/>
          <w:szCs w:val="28"/>
        </w:rPr>
        <w:t>按频次对员工个人健康、卫生情况进行检查，如有异常情况应及时上报。</w:t>
      </w:r>
    </w:p>
    <w:p w14:paraId="30F181B1">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上班穿戴统一的工作服和工作帽（</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提供，包括在投标总报价中），不准随地吐痰，不准吸烟，不准穿拖鞋，不准</w:t>
      </w:r>
      <w:r>
        <w:rPr>
          <w:rFonts w:hint="eastAsia" w:ascii="仿宋" w:hAnsi="仿宋" w:eastAsia="仿宋" w:cs="仿宋"/>
          <w:color w:val="auto"/>
          <w:sz w:val="28"/>
          <w:szCs w:val="28"/>
          <w:lang w:eastAsia="zh-CN"/>
        </w:rPr>
        <w:t>佩戴首饰</w:t>
      </w:r>
      <w:r>
        <w:rPr>
          <w:rFonts w:hint="eastAsia" w:ascii="仿宋" w:hAnsi="仿宋" w:eastAsia="仿宋" w:cs="仿宋"/>
          <w:color w:val="auto"/>
          <w:sz w:val="28"/>
          <w:szCs w:val="28"/>
        </w:rPr>
        <w:t>，操作前后及大小便后要规范洗手。</w:t>
      </w:r>
    </w:p>
    <w:p w14:paraId="519875FB">
      <w:pPr>
        <w:pageBreakBefore w:val="0"/>
        <w:kinsoku/>
        <w:wordWrap/>
        <w:overflowPunct/>
        <w:topLinePunct w:val="0"/>
        <w:autoSpaceDE/>
        <w:autoSpaceDN/>
        <w:bidi w:val="0"/>
        <w:adjustRightInd/>
        <w:snapToGrid/>
        <w:spacing w:line="360" w:lineRule="auto"/>
        <w:ind w:left="0" w:leftChars="0" w:right="0" w:firstLine="48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3.工作规范</w:t>
      </w:r>
    </w:p>
    <w:p w14:paraId="4AEE6F7F">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保洁人员要保持良好的服务态度，树立服务意识，见到顾客要主动说“您好”，不得与就餐师生争吵，捡到就餐者失物要如数、及时上交食堂，不得藏匿或丢弃。若有发现，立即解聘，情节严重者，视为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按合同约定承担违约责任。</w:t>
      </w:r>
    </w:p>
    <w:p w14:paraId="16C3C898">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保洁人员要爱惜食堂共用餐具，对</w:t>
      </w:r>
      <w:r>
        <w:rPr>
          <w:rFonts w:hint="eastAsia" w:ascii="仿宋" w:hAnsi="仿宋" w:eastAsia="仿宋" w:cs="仿宋"/>
          <w:color w:val="auto"/>
          <w:sz w:val="28"/>
          <w:szCs w:val="28"/>
          <w:lang w:eastAsia="zh-CN"/>
        </w:rPr>
        <w:t>损</w:t>
      </w:r>
      <w:r>
        <w:rPr>
          <w:rFonts w:hint="eastAsia" w:ascii="仿宋" w:hAnsi="仿宋" w:eastAsia="仿宋" w:cs="仿宋"/>
          <w:color w:val="auto"/>
          <w:sz w:val="28"/>
          <w:szCs w:val="28"/>
        </w:rPr>
        <w:t>坏的餐具固定存放，每月汇总后向食堂如实上报。保洁人员不得私带食堂物品，若有发现，立即解聘，情节严重者，视为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按合同约定承担违约责任。</w:t>
      </w:r>
    </w:p>
    <w:p w14:paraId="706F58B2">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洗消人员要严格按照去残渣、洗涤、消毒、清洗、过洗碗机、进消毒柜六个程序操作，保证餐具干、亮、无残渣等要求，不得有洗涤剂等残留，保证师生身体健康。</w:t>
      </w:r>
    </w:p>
    <w:p w14:paraId="1DD2B2A9">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化学药品、洗涤用品和消毒液要做到专人负责，平时要管好锁好，配比比例要科学合理，不得造成安全隐患。</w:t>
      </w:r>
    </w:p>
    <w:p w14:paraId="322D8B82">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保洁人员就餐要在规定时间、规定地点食用规定食品，保洁人员不得进入食堂操作间。</w:t>
      </w:r>
    </w:p>
    <w:p w14:paraId="5870BD48">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保洁人员在操作过程中和工作结束时，要把工具用具固定放置整齐，不准杂乱无章、无秩序、到处随手乱扔。</w:t>
      </w:r>
    </w:p>
    <w:p w14:paraId="7BAD8B43">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保洁人员上岗前要穿戴整齐，佩戴工作牌。上岗后坚守岗位，遵守食堂相关规定，禁止在食堂抽烟和做其它与工作无关的事情。禁止将私人物品带入食堂，保持更衣柜干净整齐，食堂管理人员随时进行检查。</w:t>
      </w:r>
    </w:p>
    <w:p w14:paraId="642694BA">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保洁人员要及时清理学生溢洒在地面、桌面的汤汁饭菜等。</w:t>
      </w:r>
    </w:p>
    <w:p w14:paraId="3DD80F43">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保洁人员服从食堂管理人员的工作安排、指导。</w:t>
      </w:r>
    </w:p>
    <w:p w14:paraId="5AFB0190">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用餐期间，保洁人员要及时清理桌面，不能影响学生用餐、及时清理地面汤汁或残渣。</w:t>
      </w:r>
    </w:p>
    <w:p w14:paraId="7FBDA59A">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定期组织保洁人员进行培训。</w:t>
      </w:r>
    </w:p>
    <w:p w14:paraId="4EEA7B4D">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如遇学校大型活动，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应配合</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抽调人员，协助食堂完成任务。</w:t>
      </w:r>
    </w:p>
    <w:p w14:paraId="0B81CA7D">
      <w:pPr>
        <w:pageBreakBefore w:val="0"/>
        <w:kinsoku/>
        <w:wordWrap/>
        <w:overflowPunct/>
        <w:topLinePunct w:val="0"/>
        <w:autoSpaceDE/>
        <w:autoSpaceDN/>
        <w:bidi w:val="0"/>
        <w:adjustRightInd/>
        <w:snapToGrid/>
        <w:spacing w:line="360" w:lineRule="auto"/>
        <w:ind w:left="0" w:leftChars="0" w:right="0" w:firstLine="48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保洁公司懈怠、延误、推诿等行为给食堂工作造成负面影响，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应按合同约定承担相应的违约责任，给</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经济或名誉造成损失和影响的，还应当承担相应的赔偿责任。</w:t>
      </w:r>
    </w:p>
    <w:p w14:paraId="48742C15">
      <w:pPr>
        <w:pageBreakBefore w:val="0"/>
        <w:kinsoku/>
        <w:wordWrap/>
        <w:overflowPunct/>
        <w:topLinePunct w:val="0"/>
        <w:bidi w:val="0"/>
        <w:spacing w:line="360" w:lineRule="auto"/>
        <w:rPr>
          <w:rFonts w:hint="eastAsia" w:ascii="仿宋" w:hAnsi="仿宋" w:eastAsia="仿宋" w:cs="仿宋"/>
          <w:color w:val="auto"/>
          <w:sz w:val="28"/>
          <w:szCs w:val="28"/>
          <w:lang w:val="zh-CN"/>
        </w:rPr>
      </w:pPr>
    </w:p>
    <w:p w14:paraId="0E09AA69">
      <w:pPr>
        <w:pStyle w:val="7"/>
        <w:pageBreakBefore w:val="0"/>
        <w:tabs>
          <w:tab w:val="left" w:pos="840"/>
        </w:tabs>
        <w:kinsoku/>
        <w:wordWrap/>
        <w:overflowPunct/>
        <w:topLinePunct w:val="0"/>
        <w:bidi w:val="0"/>
        <w:spacing w:before="0" w:after="0" w:line="360" w:lineRule="auto"/>
        <w:ind w:left="0" w:leftChars="0" w:right="0" w:firstLine="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val="zh-CN"/>
        </w:rPr>
        <w:t xml:space="preserve">节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秩序维护服务物业管理项目要求</w:t>
      </w:r>
    </w:p>
    <w:p w14:paraId="4092C1FA">
      <w:pPr>
        <w:pageBreakBefore w:val="0"/>
        <w:tabs>
          <w:tab w:val="left" w:pos="540"/>
          <w:tab w:val="left" w:pos="720"/>
        </w:tabs>
        <w:kinsoku/>
        <w:wordWrap/>
        <w:overflowPunct/>
        <w:topLinePunct w:val="0"/>
        <w:bidi w:val="0"/>
        <w:spacing w:line="360" w:lineRule="auto"/>
        <w:ind w:left="0" w:leftChars="0" w:right="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总体要求：在各值勤楼宇大厅和校园内，通过实行专业、规范、优质的咨询服务和安全防范服务，提升安全保卫质量，营造安全、便利、文明的学习、工作环境，有效管理校园秩序，保障正常的教学科研秩序，建设平安、稳定、和谐校园。</w:t>
      </w:r>
    </w:p>
    <w:p w14:paraId="5189373D">
      <w:pPr>
        <w:pStyle w:val="8"/>
        <w:pageBreakBefore w:val="0"/>
        <w:tabs>
          <w:tab w:val="left" w:pos="840"/>
        </w:tabs>
        <w:kinsoku/>
        <w:wordWrap/>
        <w:overflowPunct/>
        <w:topLinePunct w:val="0"/>
        <w:bidi w:val="0"/>
        <w:spacing w:before="0" w:after="0" w:line="360" w:lineRule="auto"/>
        <w:ind w:left="0" w:leftChars="0" w:right="0" w:firstLine="562" w:firstLineChars="200"/>
        <w:outlineLvl w:val="2"/>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服务范围</w:t>
      </w:r>
    </w:p>
    <w:p w14:paraId="3D547C2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1.负责郑东校区</w:t>
      </w:r>
      <w:r>
        <w:rPr>
          <w:rFonts w:hint="eastAsia" w:ascii="仿宋" w:hAnsi="仿宋" w:eastAsia="仿宋" w:cs="仿宋"/>
          <w:bCs/>
          <w:color w:val="auto"/>
          <w:sz w:val="28"/>
          <w:szCs w:val="28"/>
          <w:lang w:val="en-US" w:eastAsia="zh-CN"/>
        </w:rPr>
        <w:t>行政办公楼、</w:t>
      </w:r>
      <w:r>
        <w:rPr>
          <w:rFonts w:hint="eastAsia" w:ascii="仿宋" w:hAnsi="仿宋" w:eastAsia="仿宋" w:cs="仿宋"/>
          <w:bCs/>
          <w:color w:val="auto"/>
          <w:sz w:val="28"/>
          <w:szCs w:val="28"/>
        </w:rPr>
        <w:t>两栋教学楼、教学科研楼、图书馆、建树楼、综合实验楼、校医院、</w:t>
      </w:r>
      <w:r>
        <w:rPr>
          <w:rFonts w:hint="eastAsia" w:ascii="仿宋" w:hAnsi="仿宋" w:eastAsia="仿宋" w:cs="仿宋"/>
          <w:bCs/>
          <w:color w:val="auto"/>
          <w:sz w:val="28"/>
          <w:szCs w:val="28"/>
          <w:lang w:val="en-US" w:eastAsia="zh-CN"/>
        </w:rPr>
        <w:t>法学部</w:t>
      </w:r>
      <w:r>
        <w:rPr>
          <w:rFonts w:hint="eastAsia" w:ascii="仿宋" w:hAnsi="仿宋" w:eastAsia="仿宋" w:cs="仿宋"/>
          <w:bCs/>
          <w:color w:val="auto"/>
          <w:sz w:val="28"/>
          <w:szCs w:val="28"/>
        </w:rPr>
        <w:t>、教职工活动中心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体育场馆、大学生科创中心</w:t>
      </w:r>
      <w:r>
        <w:rPr>
          <w:rFonts w:hint="eastAsia" w:ascii="仿宋" w:hAnsi="仿宋" w:eastAsia="仿宋" w:cs="仿宋"/>
          <w:bCs/>
          <w:color w:val="auto"/>
          <w:sz w:val="28"/>
          <w:szCs w:val="28"/>
        </w:rPr>
        <w:t>等楼宇的访客咨询、秩序维护和安全防范工作，包括楼宇安全值班、大型活动安全防范、突发事件处理以及应急、紧急救援等工作，确保正常的教学工作得以顺利开展。</w:t>
      </w:r>
    </w:p>
    <w:p w14:paraId="1DE3A64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2.负责校园重点岗位值守、</w:t>
      </w:r>
      <w:r>
        <w:rPr>
          <w:rFonts w:hint="eastAsia" w:ascii="仿宋" w:hAnsi="仿宋" w:eastAsia="仿宋" w:cs="仿宋"/>
          <w:bCs/>
          <w:color w:val="auto"/>
          <w:sz w:val="28"/>
          <w:szCs w:val="28"/>
          <w:lang w:val="en-US" w:eastAsia="zh-CN"/>
        </w:rPr>
        <w:t>消防、</w:t>
      </w:r>
      <w:r>
        <w:rPr>
          <w:rFonts w:hint="eastAsia" w:ascii="仿宋" w:hAnsi="仿宋" w:eastAsia="仿宋" w:cs="仿宋"/>
          <w:bCs/>
          <w:color w:val="auto"/>
          <w:sz w:val="28"/>
          <w:szCs w:val="28"/>
        </w:rPr>
        <w:t>治安巡逻、交通管理、反恐防暴、大型活动秩序维护、处置突发事件、校园环境秩序（校园摊贩、校园广告、飞线充电等）等。</w:t>
      </w:r>
    </w:p>
    <w:p w14:paraId="7267358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3.秩序维护服务工作区域及人员要求如下：</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69"/>
        <w:gridCol w:w="2328"/>
        <w:gridCol w:w="4414"/>
      </w:tblGrid>
      <w:tr w14:paraId="185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783D6381">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1947" w:type="dxa"/>
            <w:noWrap w:val="0"/>
            <w:vAlign w:val="center"/>
          </w:tcPr>
          <w:p w14:paraId="7798847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楼宇</w:t>
            </w:r>
          </w:p>
        </w:tc>
        <w:tc>
          <w:tcPr>
            <w:tcW w:w="2191" w:type="dxa"/>
            <w:noWrap w:val="0"/>
            <w:vAlign w:val="center"/>
          </w:tcPr>
          <w:p w14:paraId="14D1A8AD">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秩序维护员人数</w:t>
            </w:r>
          </w:p>
        </w:tc>
        <w:tc>
          <w:tcPr>
            <w:tcW w:w="4154" w:type="dxa"/>
            <w:noWrap w:val="0"/>
            <w:vAlign w:val="center"/>
          </w:tcPr>
          <w:p w14:paraId="6ED5F67D">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备注</w:t>
            </w:r>
          </w:p>
        </w:tc>
      </w:tr>
      <w:tr w14:paraId="7BC4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6C8CAD2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1947" w:type="dxa"/>
            <w:noWrap w:val="0"/>
            <w:vAlign w:val="center"/>
          </w:tcPr>
          <w:p w14:paraId="64E1B077">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1号教学楼</w:t>
            </w:r>
          </w:p>
        </w:tc>
        <w:tc>
          <w:tcPr>
            <w:tcW w:w="2191" w:type="dxa"/>
            <w:noWrap w:val="0"/>
            <w:vAlign w:val="center"/>
          </w:tcPr>
          <w:p w14:paraId="4AAA9228">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4A391A2E">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4DAE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500805D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1947" w:type="dxa"/>
            <w:noWrap w:val="0"/>
            <w:vAlign w:val="center"/>
          </w:tcPr>
          <w:p w14:paraId="4336363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2号教学楼</w:t>
            </w:r>
          </w:p>
        </w:tc>
        <w:tc>
          <w:tcPr>
            <w:tcW w:w="2191" w:type="dxa"/>
            <w:noWrap w:val="0"/>
            <w:vAlign w:val="center"/>
          </w:tcPr>
          <w:p w14:paraId="57581F0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1CADEAB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46DC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5BCFF179">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1947" w:type="dxa"/>
            <w:noWrap w:val="0"/>
            <w:vAlign w:val="center"/>
          </w:tcPr>
          <w:p w14:paraId="603F3039">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教学科研楼</w:t>
            </w:r>
          </w:p>
        </w:tc>
        <w:tc>
          <w:tcPr>
            <w:tcW w:w="2191" w:type="dxa"/>
            <w:noWrap w:val="0"/>
            <w:vAlign w:val="center"/>
          </w:tcPr>
          <w:p w14:paraId="31A3BC67">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22679FD9">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50E6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01339D1E">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1947" w:type="dxa"/>
            <w:noWrap w:val="0"/>
            <w:vAlign w:val="center"/>
          </w:tcPr>
          <w:p w14:paraId="5F6CAA5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建树楼</w:t>
            </w:r>
          </w:p>
        </w:tc>
        <w:tc>
          <w:tcPr>
            <w:tcW w:w="2191" w:type="dxa"/>
            <w:noWrap w:val="0"/>
            <w:vAlign w:val="center"/>
          </w:tcPr>
          <w:p w14:paraId="28153C5F">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2B5E5391">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0967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48D2B9D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1947" w:type="dxa"/>
            <w:noWrap w:val="0"/>
            <w:vAlign w:val="center"/>
          </w:tcPr>
          <w:p w14:paraId="1485F138">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综合实验楼</w:t>
            </w:r>
          </w:p>
        </w:tc>
        <w:tc>
          <w:tcPr>
            <w:tcW w:w="2191" w:type="dxa"/>
            <w:noWrap w:val="0"/>
            <w:vAlign w:val="center"/>
          </w:tcPr>
          <w:p w14:paraId="2C56C8E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00119AA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0959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443C0CEC">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1947" w:type="dxa"/>
            <w:noWrap w:val="0"/>
            <w:vAlign w:val="center"/>
          </w:tcPr>
          <w:p w14:paraId="4E0B4B9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图书馆</w:t>
            </w:r>
          </w:p>
        </w:tc>
        <w:tc>
          <w:tcPr>
            <w:tcW w:w="2191" w:type="dxa"/>
            <w:noWrap w:val="0"/>
            <w:vAlign w:val="center"/>
          </w:tcPr>
          <w:p w14:paraId="4226485C">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p>
        </w:tc>
        <w:tc>
          <w:tcPr>
            <w:tcW w:w="4154" w:type="dxa"/>
            <w:noWrap w:val="0"/>
            <w:vAlign w:val="center"/>
          </w:tcPr>
          <w:p w14:paraId="7DF864A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值夜，早晚开关门，高峰期立岗</w:t>
            </w:r>
          </w:p>
        </w:tc>
      </w:tr>
      <w:tr w14:paraId="681F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0BB0C74B">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1947" w:type="dxa"/>
            <w:noWrap w:val="0"/>
            <w:vAlign w:val="center"/>
          </w:tcPr>
          <w:p w14:paraId="138DBFB7">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校医院</w:t>
            </w:r>
          </w:p>
        </w:tc>
        <w:tc>
          <w:tcPr>
            <w:tcW w:w="2191" w:type="dxa"/>
            <w:noWrap w:val="0"/>
            <w:vAlign w:val="center"/>
          </w:tcPr>
          <w:p w14:paraId="4C2581F4">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0AE0E4EF">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w:t>
            </w:r>
          </w:p>
        </w:tc>
      </w:tr>
      <w:tr w14:paraId="23A3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4E3B6B5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1947" w:type="dxa"/>
            <w:noWrap w:val="0"/>
            <w:vAlign w:val="center"/>
          </w:tcPr>
          <w:p w14:paraId="5F052CBB">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法学部</w:t>
            </w:r>
          </w:p>
        </w:tc>
        <w:tc>
          <w:tcPr>
            <w:tcW w:w="2191" w:type="dxa"/>
            <w:noWrap w:val="0"/>
            <w:vAlign w:val="center"/>
          </w:tcPr>
          <w:p w14:paraId="7F1FCE2D">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4E3D76B4">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w:t>
            </w:r>
          </w:p>
        </w:tc>
      </w:tr>
      <w:tr w14:paraId="7D3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178445C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p>
        </w:tc>
        <w:tc>
          <w:tcPr>
            <w:tcW w:w="1947" w:type="dxa"/>
            <w:noWrap w:val="0"/>
            <w:vAlign w:val="center"/>
          </w:tcPr>
          <w:p w14:paraId="6D86083B">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职工活动中心</w:t>
            </w:r>
          </w:p>
        </w:tc>
        <w:tc>
          <w:tcPr>
            <w:tcW w:w="2191" w:type="dxa"/>
            <w:noWrap w:val="0"/>
            <w:vAlign w:val="center"/>
          </w:tcPr>
          <w:p w14:paraId="463F8082">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5E7D03C9">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w:t>
            </w:r>
          </w:p>
        </w:tc>
      </w:tr>
      <w:tr w14:paraId="07AD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324C57E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p>
        </w:tc>
        <w:tc>
          <w:tcPr>
            <w:tcW w:w="1947" w:type="dxa"/>
            <w:noWrap w:val="0"/>
            <w:vAlign w:val="center"/>
          </w:tcPr>
          <w:p w14:paraId="1B8B2323">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体育场馆</w:t>
            </w:r>
          </w:p>
        </w:tc>
        <w:tc>
          <w:tcPr>
            <w:tcW w:w="2191" w:type="dxa"/>
            <w:noWrap w:val="0"/>
            <w:vAlign w:val="center"/>
          </w:tcPr>
          <w:p w14:paraId="56183343">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p>
        </w:tc>
        <w:tc>
          <w:tcPr>
            <w:tcW w:w="4154" w:type="dxa"/>
            <w:noWrap w:val="0"/>
            <w:vAlign w:val="center"/>
          </w:tcPr>
          <w:p w14:paraId="6924D0D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值夜，早晚开关门</w:t>
            </w:r>
          </w:p>
        </w:tc>
      </w:tr>
      <w:tr w14:paraId="0A9E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shd w:val="clear" w:color="auto" w:fill="auto"/>
            <w:noWrap w:val="0"/>
            <w:vAlign w:val="center"/>
          </w:tcPr>
          <w:p w14:paraId="4E88EBD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1</w:t>
            </w:r>
          </w:p>
        </w:tc>
        <w:tc>
          <w:tcPr>
            <w:tcW w:w="1947" w:type="dxa"/>
            <w:shd w:val="clear" w:color="auto" w:fill="auto"/>
            <w:noWrap w:val="0"/>
            <w:vAlign w:val="center"/>
          </w:tcPr>
          <w:p w14:paraId="07B0C0FC">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大学生科创中心</w:t>
            </w:r>
          </w:p>
        </w:tc>
        <w:tc>
          <w:tcPr>
            <w:tcW w:w="2191" w:type="dxa"/>
            <w:shd w:val="clear" w:color="auto" w:fill="auto"/>
            <w:noWrap w:val="0"/>
            <w:vAlign w:val="center"/>
          </w:tcPr>
          <w:p w14:paraId="4CB95402">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w:t>
            </w:r>
          </w:p>
        </w:tc>
        <w:tc>
          <w:tcPr>
            <w:tcW w:w="4154" w:type="dxa"/>
            <w:shd w:val="clear" w:color="auto" w:fill="auto"/>
            <w:noWrap w:val="0"/>
            <w:vAlign w:val="center"/>
          </w:tcPr>
          <w:p w14:paraId="6A228657">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值夜，早晚开关门，高峰期立岗</w:t>
            </w:r>
          </w:p>
        </w:tc>
      </w:tr>
      <w:tr w14:paraId="4500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shd w:val="clear" w:color="auto" w:fill="auto"/>
            <w:noWrap w:val="0"/>
            <w:vAlign w:val="center"/>
          </w:tcPr>
          <w:p w14:paraId="49781713">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2</w:t>
            </w:r>
          </w:p>
        </w:tc>
        <w:tc>
          <w:tcPr>
            <w:tcW w:w="1947" w:type="dxa"/>
            <w:shd w:val="clear" w:color="auto" w:fill="auto"/>
            <w:noWrap w:val="0"/>
            <w:vAlign w:val="center"/>
          </w:tcPr>
          <w:p w14:paraId="2F01740E">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行政办公</w:t>
            </w:r>
            <w:r>
              <w:rPr>
                <w:rFonts w:hint="eastAsia" w:ascii="仿宋" w:hAnsi="仿宋" w:eastAsia="仿宋" w:cs="仿宋"/>
                <w:b w:val="0"/>
                <w:bCs w:val="0"/>
                <w:color w:val="auto"/>
                <w:sz w:val="24"/>
                <w:szCs w:val="24"/>
              </w:rPr>
              <w:t>楼</w:t>
            </w:r>
          </w:p>
        </w:tc>
        <w:tc>
          <w:tcPr>
            <w:tcW w:w="2191" w:type="dxa"/>
            <w:shd w:val="clear" w:color="auto" w:fill="auto"/>
            <w:noWrap w:val="0"/>
            <w:vAlign w:val="center"/>
          </w:tcPr>
          <w:p w14:paraId="7C2B408D">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3</w:t>
            </w:r>
          </w:p>
        </w:tc>
        <w:tc>
          <w:tcPr>
            <w:tcW w:w="4154" w:type="dxa"/>
            <w:shd w:val="clear" w:color="auto" w:fill="auto"/>
            <w:noWrap w:val="0"/>
            <w:vAlign w:val="center"/>
          </w:tcPr>
          <w:p w14:paraId="6B4B504D">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早、中、晚三班</w:t>
            </w:r>
            <w:r>
              <w:rPr>
                <w:rFonts w:hint="eastAsia" w:ascii="仿宋" w:hAnsi="仿宋" w:eastAsia="仿宋" w:cs="仿宋"/>
                <w:b w:val="0"/>
                <w:bCs w:val="0"/>
                <w:color w:val="auto"/>
                <w:sz w:val="24"/>
                <w:szCs w:val="24"/>
              </w:rPr>
              <w:t>，高峰期立岗</w:t>
            </w:r>
          </w:p>
          <w:p w14:paraId="78676BB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早班7:00-15:00</w:t>
            </w:r>
          </w:p>
          <w:p w14:paraId="3DB22BF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中班15:00-23:00</w:t>
            </w:r>
          </w:p>
          <w:p w14:paraId="1EAE8C91">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晚班23:00-7:00</w:t>
            </w:r>
          </w:p>
        </w:tc>
      </w:tr>
      <w:tr w14:paraId="1B26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0A1D0B07">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p>
        </w:tc>
        <w:tc>
          <w:tcPr>
            <w:tcW w:w="1947" w:type="dxa"/>
            <w:noWrap w:val="0"/>
            <w:vAlign w:val="center"/>
          </w:tcPr>
          <w:p w14:paraId="37B3A48C">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校园巡逻队</w:t>
            </w:r>
          </w:p>
        </w:tc>
        <w:tc>
          <w:tcPr>
            <w:tcW w:w="2191" w:type="dxa"/>
            <w:noWrap w:val="0"/>
            <w:vAlign w:val="center"/>
          </w:tcPr>
          <w:p w14:paraId="62AC3BA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4154" w:type="dxa"/>
            <w:noWrap w:val="0"/>
            <w:vAlign w:val="center"/>
          </w:tcPr>
          <w:p w14:paraId="4792867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早、中、晚班各</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人</w:t>
            </w:r>
          </w:p>
          <w:p w14:paraId="6B0BA3BB">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早班7:00-15:00</w:t>
            </w:r>
          </w:p>
          <w:p w14:paraId="49C6EC8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中班15:00-23:00</w:t>
            </w:r>
          </w:p>
          <w:p w14:paraId="565DAD5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晚班23:00-7:00</w:t>
            </w:r>
          </w:p>
        </w:tc>
      </w:tr>
      <w:tr w14:paraId="6718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dxa"/>
            <w:noWrap w:val="0"/>
            <w:vAlign w:val="center"/>
          </w:tcPr>
          <w:p w14:paraId="7AA4E73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14</w:t>
            </w:r>
          </w:p>
        </w:tc>
        <w:tc>
          <w:tcPr>
            <w:tcW w:w="1947" w:type="dxa"/>
            <w:noWrap w:val="0"/>
            <w:vAlign w:val="center"/>
          </w:tcPr>
          <w:p w14:paraId="0C0BED16">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秩序</w:t>
            </w:r>
            <w:r>
              <w:rPr>
                <w:rFonts w:hint="eastAsia" w:ascii="仿宋" w:hAnsi="仿宋" w:eastAsia="仿宋" w:cs="仿宋"/>
                <w:b w:val="0"/>
                <w:bCs w:val="0"/>
                <w:color w:val="auto"/>
                <w:sz w:val="24"/>
                <w:szCs w:val="24"/>
                <w:lang w:eastAsia="zh-CN"/>
              </w:rPr>
              <w:t>主管</w:t>
            </w:r>
          </w:p>
        </w:tc>
        <w:tc>
          <w:tcPr>
            <w:tcW w:w="2191" w:type="dxa"/>
            <w:noWrap w:val="0"/>
            <w:vAlign w:val="center"/>
          </w:tcPr>
          <w:p w14:paraId="0A6D6B61">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4154" w:type="dxa"/>
            <w:noWrap w:val="0"/>
            <w:vAlign w:val="center"/>
          </w:tcPr>
          <w:p w14:paraId="74836AB0">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秩序维护工作统筹协调与安排</w:t>
            </w:r>
          </w:p>
        </w:tc>
      </w:tr>
      <w:tr w14:paraId="3D22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6" w:type="dxa"/>
            <w:gridSpan w:val="2"/>
            <w:noWrap w:val="0"/>
            <w:vAlign w:val="center"/>
          </w:tcPr>
          <w:p w14:paraId="54D2607A">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合计</w:t>
            </w:r>
          </w:p>
        </w:tc>
        <w:tc>
          <w:tcPr>
            <w:tcW w:w="2191" w:type="dxa"/>
            <w:noWrap w:val="0"/>
            <w:vAlign w:val="center"/>
          </w:tcPr>
          <w:p w14:paraId="709C87BC">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34</w:t>
            </w:r>
          </w:p>
        </w:tc>
        <w:tc>
          <w:tcPr>
            <w:tcW w:w="4154" w:type="dxa"/>
            <w:noWrap w:val="0"/>
            <w:vAlign w:val="center"/>
          </w:tcPr>
          <w:p w14:paraId="43062C55">
            <w:pPr>
              <w:pageBreakBefore w:val="0"/>
              <w:tabs>
                <w:tab w:val="left" w:pos="530"/>
                <w:tab w:val="left" w:pos="108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r>
    </w:tbl>
    <w:p w14:paraId="2C6FE7ED">
      <w:pPr>
        <w:pStyle w:val="8"/>
        <w:pageBreakBefore w:val="0"/>
        <w:tabs>
          <w:tab w:val="left" w:pos="840"/>
        </w:tabs>
        <w:kinsoku/>
        <w:wordWrap/>
        <w:overflowPunct/>
        <w:topLinePunct w:val="0"/>
        <w:bidi w:val="0"/>
        <w:spacing w:before="0" w:after="0" w:line="360" w:lineRule="auto"/>
        <w:ind w:left="0" w:leftChars="0" w:right="0" w:firstLine="562" w:firstLineChars="200"/>
        <w:outlineLvl w:val="2"/>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服务内容</w:t>
      </w:r>
    </w:p>
    <w:p w14:paraId="444F4704">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1.负责责任范围内各楼宇出入口值班、接待、监管、查验和日常巡逻、值班记录以及公共秩序和安全维护。</w:t>
      </w:r>
    </w:p>
    <w:p w14:paraId="24A3CF36">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2.维护辖区内公共设施的安全及师生员工的人身及财产安全。</w:t>
      </w:r>
    </w:p>
    <w:p w14:paraId="108A4B63">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3.负责校区重点楼宇、重要部位的值班并做好值班记录，做好人员来访、设备及物品出入登记等记录，有专用记录本。做好周边安全秩序监管、应急处理、来访引导。</w:t>
      </w:r>
    </w:p>
    <w:p w14:paraId="089F9D30">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4.负责辖区内的秩序管制、安全保卫和应急处理，维护楼宇内的正常教学、科研及工作、生活秩序，驱赶、纠正或制止楼宇内各种违章（法）、违规（纪）行为，净化校园环境。</w:t>
      </w:r>
    </w:p>
    <w:p w14:paraId="75C5B801">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5.协助学校保卫部门及公安机关保护各种现场（包括治安、刑事案件现场及其它各类事件现场、消防、交通及安全事故现场等），为学校保卫部门和公安机关提供可靠资料。</w:t>
      </w:r>
    </w:p>
    <w:p w14:paraId="543B2072">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6.执行学校有关的“安全管理规定”和“应急安全保卫预案”的有关任务，努力做好秩序维护和安全保卫工作。</w:t>
      </w:r>
    </w:p>
    <w:p w14:paraId="72A725A0">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7.按照学校的作息时间和相关部门要求开关门和灯</w:t>
      </w:r>
      <w:r>
        <w:rPr>
          <w:rFonts w:hint="eastAsia" w:ascii="仿宋" w:hAnsi="仿宋" w:eastAsia="仿宋" w:cs="仿宋"/>
          <w:bCs/>
          <w:color w:val="auto"/>
          <w:sz w:val="28"/>
          <w:szCs w:val="28"/>
          <w:lang w:eastAsia="zh-CN"/>
        </w:rPr>
        <w:t>。</w:t>
      </w:r>
    </w:p>
    <w:p w14:paraId="168EEC08">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8.管理员值班期间不允许做与工作无关的事情，值班室内不得烹饪、煮饭等，做好岗位值班记录，记录要完整、详尽，相关记录有</w:t>
      </w:r>
      <w:r>
        <w:rPr>
          <w:rFonts w:hint="eastAsia" w:ascii="仿宋" w:hAnsi="仿宋" w:eastAsia="仿宋" w:cs="仿宋"/>
          <w:bCs/>
          <w:color w:val="auto"/>
          <w:sz w:val="28"/>
          <w:szCs w:val="28"/>
          <w:lang w:eastAsia="zh-CN"/>
        </w:rPr>
        <w:t>秩序主管</w:t>
      </w:r>
      <w:r>
        <w:rPr>
          <w:rFonts w:hint="eastAsia" w:ascii="仿宋" w:hAnsi="仿宋" w:eastAsia="仿宋" w:cs="仿宋"/>
          <w:bCs/>
          <w:color w:val="auto"/>
          <w:sz w:val="28"/>
          <w:szCs w:val="28"/>
        </w:rPr>
        <w:t>签阅意见；不得脱岗缺岗</w:t>
      </w:r>
      <w:r>
        <w:rPr>
          <w:rFonts w:hint="eastAsia" w:ascii="仿宋" w:hAnsi="仿宋" w:eastAsia="仿宋" w:cs="仿宋"/>
          <w:bCs/>
          <w:color w:val="auto"/>
          <w:sz w:val="28"/>
          <w:szCs w:val="28"/>
          <w:lang w:eastAsia="zh-CN"/>
        </w:rPr>
        <w:t>。</w:t>
      </w:r>
    </w:p>
    <w:p w14:paraId="4BB9B631">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9.熟悉本楼宇一切情况，包括：房间、卫生间数量，公共区域面积，消防器材位置、数量及状况，具备处理应急突发事件的能力</w:t>
      </w:r>
      <w:r>
        <w:rPr>
          <w:rFonts w:hint="eastAsia" w:ascii="仿宋" w:hAnsi="仿宋" w:eastAsia="仿宋" w:cs="仿宋"/>
          <w:bCs/>
          <w:color w:val="auto"/>
          <w:sz w:val="28"/>
          <w:szCs w:val="28"/>
          <w:lang w:eastAsia="zh-CN"/>
        </w:rPr>
        <w:t>。</w:t>
      </w:r>
    </w:p>
    <w:p w14:paraId="069C8951">
      <w:pPr>
        <w:keepNext w:val="0"/>
        <w:keepLines w:val="0"/>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10.按学校要求检查教室开放关闭情况，晚自习后，组织员工做好清楼、设备检查、门窗落锁等工作</w:t>
      </w:r>
      <w:r>
        <w:rPr>
          <w:rFonts w:hint="eastAsia" w:ascii="仿宋" w:hAnsi="仿宋" w:eastAsia="仿宋" w:cs="仿宋"/>
          <w:bCs/>
          <w:color w:val="auto"/>
          <w:sz w:val="28"/>
          <w:szCs w:val="28"/>
          <w:lang w:eastAsia="zh-CN"/>
        </w:rPr>
        <w:t>。</w:t>
      </w:r>
    </w:p>
    <w:p w14:paraId="2959112D">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11.负责校园环境秩序的维护，按照采购人管理部门的要求，开展对校园摊贩、广告、私拉乱扯电线充电、保洁、绿化等方面的巡查治理与维护工作</w:t>
      </w:r>
      <w:r>
        <w:rPr>
          <w:rFonts w:hint="eastAsia" w:ascii="仿宋" w:hAnsi="仿宋" w:eastAsia="仿宋" w:cs="仿宋"/>
          <w:bCs/>
          <w:color w:val="auto"/>
          <w:sz w:val="28"/>
          <w:szCs w:val="28"/>
          <w:lang w:eastAsia="zh-CN"/>
        </w:rPr>
        <w:t>。</w:t>
      </w:r>
    </w:p>
    <w:p w14:paraId="3F2B74A8">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12.做好管辖区内的杂物管理及清理工作</w:t>
      </w:r>
      <w:r>
        <w:rPr>
          <w:rFonts w:hint="eastAsia" w:ascii="仿宋" w:hAnsi="仿宋" w:eastAsia="仿宋" w:cs="仿宋"/>
          <w:bCs/>
          <w:color w:val="auto"/>
          <w:sz w:val="28"/>
          <w:szCs w:val="28"/>
          <w:lang w:eastAsia="zh-CN"/>
        </w:rPr>
        <w:t>。</w:t>
      </w:r>
    </w:p>
    <w:p w14:paraId="37AF2778">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13.做好治安和消防安全管理工作，及时发现和消除安全隐患，维持校园治安秩序，为教学、科研、管理和生活服务创造一个安全的校园环境</w:t>
      </w:r>
      <w:r>
        <w:rPr>
          <w:rFonts w:hint="eastAsia" w:ascii="仿宋" w:hAnsi="仿宋" w:eastAsia="仿宋" w:cs="仿宋"/>
          <w:bCs/>
          <w:color w:val="auto"/>
          <w:sz w:val="28"/>
          <w:szCs w:val="28"/>
          <w:lang w:eastAsia="zh-CN"/>
        </w:rPr>
        <w:t>。</w:t>
      </w:r>
    </w:p>
    <w:p w14:paraId="2CA94BFC">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14.负责校园重点场所的值班守卫和校园治安巡逻</w:t>
      </w:r>
      <w:r>
        <w:rPr>
          <w:rFonts w:hint="eastAsia" w:ascii="仿宋" w:hAnsi="仿宋" w:eastAsia="仿宋" w:cs="仿宋"/>
          <w:bCs/>
          <w:color w:val="auto"/>
          <w:sz w:val="28"/>
          <w:szCs w:val="28"/>
          <w:lang w:eastAsia="zh-CN"/>
        </w:rPr>
        <w:t>。</w:t>
      </w:r>
    </w:p>
    <w:p w14:paraId="101A36E9">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15.在学校保障服务部的组织领导下，做好内部治安综合治理工作</w:t>
      </w:r>
      <w:r>
        <w:rPr>
          <w:rFonts w:hint="eastAsia" w:ascii="仿宋" w:hAnsi="仿宋" w:eastAsia="仿宋" w:cs="仿宋"/>
          <w:bCs/>
          <w:color w:val="auto"/>
          <w:sz w:val="28"/>
          <w:szCs w:val="28"/>
          <w:lang w:eastAsia="zh-CN"/>
        </w:rPr>
        <w:t>。</w:t>
      </w:r>
    </w:p>
    <w:p w14:paraId="736743B2">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.做好校园车辆停放秩序管理及其他交通管理工作。</w:t>
      </w:r>
    </w:p>
    <w:p w14:paraId="33C6C058">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rPr>
        <w:t>.妥善处置各种应急突发事件，为广大师生提供紧急救助服务</w:t>
      </w:r>
      <w:r>
        <w:rPr>
          <w:rFonts w:hint="eastAsia" w:ascii="仿宋" w:hAnsi="仿宋" w:eastAsia="仿宋" w:cs="仿宋"/>
          <w:bCs/>
          <w:color w:val="auto"/>
          <w:sz w:val="28"/>
          <w:szCs w:val="28"/>
          <w:lang w:eastAsia="zh-CN"/>
        </w:rPr>
        <w:t>。</w:t>
      </w:r>
    </w:p>
    <w:p w14:paraId="5941346A">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.配合公安机关查处、打击校园内部与周边的违法犯罪活动</w:t>
      </w:r>
      <w:r>
        <w:rPr>
          <w:rFonts w:hint="eastAsia" w:ascii="仿宋" w:hAnsi="仿宋" w:eastAsia="仿宋" w:cs="仿宋"/>
          <w:bCs/>
          <w:color w:val="auto"/>
          <w:sz w:val="28"/>
          <w:szCs w:val="28"/>
          <w:lang w:eastAsia="zh-CN"/>
        </w:rPr>
        <w:t>。</w:t>
      </w:r>
    </w:p>
    <w:p w14:paraId="7DA1DA67">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19</w:t>
      </w:r>
      <w:r>
        <w:rPr>
          <w:rFonts w:hint="eastAsia" w:ascii="仿宋" w:hAnsi="仿宋" w:eastAsia="仿宋" w:cs="仿宋"/>
          <w:bCs/>
          <w:color w:val="auto"/>
          <w:sz w:val="28"/>
          <w:szCs w:val="28"/>
        </w:rPr>
        <w:t>.组建微型消防站队，</w:t>
      </w:r>
      <w:r>
        <w:rPr>
          <w:rFonts w:hint="eastAsia" w:ascii="仿宋" w:hAnsi="仿宋" w:eastAsia="仿宋" w:cs="仿宋"/>
          <w:bCs/>
          <w:color w:val="auto"/>
          <w:sz w:val="28"/>
          <w:szCs w:val="28"/>
          <w:lang w:val="en-US" w:eastAsia="zh-CN"/>
        </w:rPr>
        <w:t>秩序维护和</w:t>
      </w:r>
      <w:r>
        <w:rPr>
          <w:rFonts w:hint="eastAsia" w:ascii="仿宋" w:hAnsi="仿宋" w:eastAsia="仿宋" w:cs="仿宋"/>
          <w:bCs/>
          <w:color w:val="auto"/>
          <w:sz w:val="28"/>
          <w:szCs w:val="28"/>
        </w:rPr>
        <w:t>校园巡逻队员自动列入学校微型消防站队伍并接受学校保障服务部</w:t>
      </w:r>
      <w:r>
        <w:rPr>
          <w:rFonts w:hint="eastAsia" w:ascii="仿宋" w:hAnsi="仿宋" w:eastAsia="仿宋" w:cs="仿宋"/>
          <w:bCs/>
          <w:color w:val="auto"/>
          <w:sz w:val="28"/>
          <w:szCs w:val="28"/>
          <w:lang w:val="en-US" w:eastAsia="zh-CN"/>
        </w:rPr>
        <w:t>统一</w:t>
      </w:r>
      <w:r>
        <w:rPr>
          <w:rFonts w:hint="eastAsia" w:ascii="仿宋" w:hAnsi="仿宋" w:eastAsia="仿宋" w:cs="仿宋"/>
          <w:bCs/>
          <w:color w:val="auto"/>
          <w:sz w:val="28"/>
          <w:szCs w:val="28"/>
        </w:rPr>
        <w:t>指挥管理。</w:t>
      </w:r>
    </w:p>
    <w:p w14:paraId="41C82719">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rPr>
        <w:t>.为学校110值班室、行政楼总监控制室各提供一部性能优良的对讲机（与校园</w:t>
      </w:r>
      <w:r>
        <w:rPr>
          <w:rFonts w:hint="eastAsia" w:ascii="仿宋" w:hAnsi="仿宋" w:eastAsia="仿宋" w:cs="仿宋"/>
          <w:bCs/>
          <w:color w:val="auto"/>
          <w:sz w:val="28"/>
          <w:szCs w:val="28"/>
          <w:lang w:val="en-US" w:eastAsia="zh-CN"/>
        </w:rPr>
        <w:t>秩序、</w:t>
      </w:r>
      <w:r>
        <w:rPr>
          <w:rFonts w:hint="eastAsia" w:ascii="仿宋" w:hAnsi="仿宋" w:eastAsia="仿宋" w:cs="仿宋"/>
          <w:bCs/>
          <w:color w:val="auto"/>
          <w:sz w:val="28"/>
          <w:szCs w:val="28"/>
        </w:rPr>
        <w:t>巡逻队员相同机型），便于快速联动处理校园突发情况</w:t>
      </w:r>
      <w:r>
        <w:rPr>
          <w:rFonts w:hint="eastAsia" w:ascii="仿宋" w:hAnsi="仿宋" w:eastAsia="仿宋" w:cs="仿宋"/>
          <w:bCs/>
          <w:color w:val="auto"/>
          <w:sz w:val="28"/>
          <w:szCs w:val="28"/>
          <w:lang w:eastAsia="zh-CN"/>
        </w:rPr>
        <w:t>。</w:t>
      </w:r>
    </w:p>
    <w:p w14:paraId="11638FA9">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21.</w:t>
      </w:r>
      <w:r>
        <w:rPr>
          <w:rFonts w:hint="eastAsia" w:ascii="仿宋" w:hAnsi="仿宋" w:eastAsia="仿宋" w:cs="仿宋"/>
          <w:bCs/>
          <w:color w:val="auto"/>
          <w:sz w:val="28"/>
          <w:szCs w:val="28"/>
        </w:rPr>
        <w:t>定期参加学校组织的消防、治安、反恐等培训、演练活动，与校园110值班室、消防控制室、消防维保单位密切联动，及时发现和妥善处置校内各类突发事件</w:t>
      </w:r>
      <w:r>
        <w:rPr>
          <w:rFonts w:hint="eastAsia" w:ascii="仿宋" w:hAnsi="仿宋" w:eastAsia="仿宋" w:cs="仿宋"/>
          <w:bCs/>
          <w:color w:val="auto"/>
          <w:sz w:val="28"/>
          <w:szCs w:val="28"/>
          <w:lang w:eastAsia="zh-CN"/>
        </w:rPr>
        <w:t>。</w:t>
      </w:r>
    </w:p>
    <w:p w14:paraId="77DE9E03">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.认真完成学校重大活动保障及安排的其它工作，根据学校需要无偿提供外援不少于150人次的保障（如新生报到和其他大型活动等）。</w:t>
      </w:r>
    </w:p>
    <w:p w14:paraId="7AC1AD7C">
      <w:pPr>
        <w:pStyle w:val="8"/>
        <w:pageBreakBefore w:val="0"/>
        <w:tabs>
          <w:tab w:val="left" w:pos="840"/>
        </w:tabs>
        <w:kinsoku/>
        <w:wordWrap/>
        <w:overflowPunct/>
        <w:topLinePunct w:val="0"/>
        <w:bidi w:val="0"/>
        <w:spacing w:before="0" w:after="0" w:line="360" w:lineRule="auto"/>
        <w:ind w:left="0" w:leftChars="0" w:right="0" w:firstLine="562" w:firstLineChars="200"/>
        <w:outlineLvl w:val="2"/>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服务标准及质量要求</w:t>
      </w:r>
    </w:p>
    <w:p w14:paraId="545945E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在采购人提出的秩序维护服务标准和质量标准的基础上，由供应商提供规范化的秩序维护服务标准、服务质量控制标准和服务评价与改进标准。</w:t>
      </w:r>
    </w:p>
    <w:p w14:paraId="3A68812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1.建立管理档案，工作交接本、日常巡查记录本、失物登记本、维修登记本、大件物品进出登记本、人员进出登记本等档案资料。</w:t>
      </w:r>
    </w:p>
    <w:p w14:paraId="2EB7AC4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2.建立值班管理制度及工作标准，建立工作签到制度和工作质量考核制度，有岗位职责和考核办法，有值班表、管理人员信息，有《楼宇突发事件管理应预案》。</w:t>
      </w:r>
    </w:p>
    <w:p w14:paraId="510DA8E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3.有完善的月工作计划并分区域落实到人，有巡查并规范填写巡查签到表，按规定签到。</w:t>
      </w:r>
    </w:p>
    <w:p w14:paraId="630DC25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4.秩序</w:t>
      </w:r>
      <w:r>
        <w:rPr>
          <w:rFonts w:hint="eastAsia" w:ascii="仿宋" w:hAnsi="仿宋" w:eastAsia="仿宋" w:cs="仿宋"/>
          <w:bCs/>
          <w:color w:val="auto"/>
          <w:sz w:val="28"/>
          <w:szCs w:val="28"/>
          <w:lang w:eastAsia="zh-CN"/>
        </w:rPr>
        <w:t>主管</w:t>
      </w:r>
      <w:r>
        <w:rPr>
          <w:rFonts w:hint="eastAsia" w:ascii="仿宋" w:hAnsi="仿宋" w:eastAsia="仿宋" w:cs="仿宋"/>
          <w:bCs/>
          <w:color w:val="auto"/>
          <w:sz w:val="28"/>
          <w:szCs w:val="28"/>
        </w:rPr>
        <w:t>保持通讯工具24小时畅通，随时待命</w:t>
      </w:r>
      <w:r>
        <w:rPr>
          <w:rFonts w:hint="eastAsia" w:ascii="仿宋" w:hAnsi="仿宋" w:eastAsia="仿宋" w:cs="仿宋"/>
          <w:bCs/>
          <w:color w:val="auto"/>
          <w:sz w:val="28"/>
          <w:szCs w:val="28"/>
          <w:lang w:eastAsia="zh-CN"/>
        </w:rPr>
        <w:t>。</w:t>
      </w:r>
    </w:p>
    <w:p w14:paraId="5F13768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5.配有统一制服，着装整齐、干净。</w:t>
      </w:r>
    </w:p>
    <w:p w14:paraId="371D044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6.值班区域（值班台）卫生干净整洁，不允许摆放个人物品及杂物。</w:t>
      </w:r>
    </w:p>
    <w:p w14:paraId="709FCB3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7.使用文明用语，微笑服务，协调楼内各项事宜，服务整改合格率100%；统一工装，挂牌服务，礼貌待客；向导咨询，有求必应；不得谩骂、殴打学生，不得与师生发生任何冲突，如有纠纷及时向</w:t>
      </w:r>
      <w:r>
        <w:rPr>
          <w:rFonts w:hint="eastAsia" w:ascii="仿宋" w:hAnsi="仿宋" w:eastAsia="仿宋" w:cs="仿宋"/>
          <w:bCs/>
          <w:color w:val="auto"/>
          <w:sz w:val="28"/>
          <w:szCs w:val="28"/>
          <w:lang w:val="en-US" w:eastAsia="zh-CN"/>
        </w:rPr>
        <w:t>学校</w:t>
      </w:r>
      <w:r>
        <w:rPr>
          <w:rFonts w:hint="eastAsia" w:ascii="仿宋" w:hAnsi="仿宋" w:eastAsia="仿宋" w:cs="仿宋"/>
          <w:bCs/>
          <w:color w:val="auto"/>
          <w:sz w:val="28"/>
          <w:szCs w:val="28"/>
        </w:rPr>
        <w:t>管理部门反映</w:t>
      </w:r>
      <w:r>
        <w:rPr>
          <w:rFonts w:hint="eastAsia" w:ascii="仿宋" w:hAnsi="仿宋" w:eastAsia="仿宋" w:cs="仿宋"/>
          <w:bCs/>
          <w:color w:val="auto"/>
          <w:sz w:val="28"/>
          <w:szCs w:val="28"/>
          <w:lang w:eastAsia="zh-CN"/>
        </w:rPr>
        <w:t>。</w:t>
      </w:r>
    </w:p>
    <w:p w14:paraId="5131C827">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highlight w:val="yellow"/>
        </w:rPr>
      </w:pPr>
      <w:r>
        <w:rPr>
          <w:rFonts w:hint="eastAsia" w:ascii="仿宋" w:hAnsi="仿宋" w:eastAsia="仿宋" w:cs="仿宋"/>
          <w:bCs/>
          <w:color w:val="auto"/>
          <w:sz w:val="28"/>
          <w:szCs w:val="28"/>
        </w:rPr>
        <w:t>8.配备相应的便民服务物品及防疫消杀物品（医药箱、工具箱等）。</w:t>
      </w:r>
    </w:p>
    <w:p w14:paraId="7DC2BFB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9.定期检查安全、卫生及</w:t>
      </w:r>
      <w:r>
        <w:rPr>
          <w:rFonts w:hint="eastAsia" w:ascii="仿宋" w:hAnsi="仿宋" w:eastAsia="仿宋" w:cs="仿宋"/>
          <w:color w:val="auto"/>
          <w:kern w:val="0"/>
          <w:sz w:val="28"/>
          <w:szCs w:val="28"/>
        </w:rPr>
        <w:t>设备完好状况，杜绝长流水、长明灯，合格率95%以上，发现问题及时报修，并做好记录，杜绝影响正常教学运行的情况发生</w:t>
      </w:r>
      <w:r>
        <w:rPr>
          <w:rFonts w:hint="eastAsia" w:ascii="仿宋" w:hAnsi="仿宋" w:eastAsia="仿宋" w:cs="仿宋"/>
          <w:color w:val="auto"/>
          <w:kern w:val="0"/>
          <w:sz w:val="28"/>
          <w:szCs w:val="28"/>
          <w:lang w:eastAsia="zh-CN"/>
        </w:rPr>
        <w:t>。</w:t>
      </w:r>
    </w:p>
    <w:p w14:paraId="6A3A8A7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10.校园巡逻岗岗位职责及要求：</w:t>
      </w:r>
    </w:p>
    <w:tbl>
      <w:tblPr>
        <w:tblStyle w:val="5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193"/>
        <w:gridCol w:w="5734"/>
      </w:tblGrid>
      <w:tr w14:paraId="051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shd w:val="clear" w:color="auto" w:fill="auto"/>
            <w:noWrap w:val="0"/>
            <w:vAlign w:val="center"/>
          </w:tcPr>
          <w:p w14:paraId="695E9363">
            <w:pPr>
              <w:pageBreakBefore w:val="0"/>
              <w:tabs>
                <w:tab w:val="left" w:pos="424"/>
              </w:tabs>
              <w:kinsoku/>
              <w:wordWrap/>
              <w:overflowPunct/>
              <w:topLinePunct w:val="0"/>
              <w:bidi w:val="0"/>
              <w:spacing w:line="360" w:lineRule="auto"/>
              <w:ind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岗位名称</w:t>
            </w:r>
          </w:p>
        </w:tc>
        <w:tc>
          <w:tcPr>
            <w:tcW w:w="3193" w:type="dxa"/>
            <w:shd w:val="clear" w:color="auto" w:fill="auto"/>
            <w:noWrap w:val="0"/>
            <w:vAlign w:val="center"/>
          </w:tcPr>
          <w:p w14:paraId="0D11F4EB">
            <w:pPr>
              <w:pStyle w:val="19"/>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岗位职责</w:t>
            </w:r>
          </w:p>
        </w:tc>
        <w:tc>
          <w:tcPr>
            <w:tcW w:w="5734" w:type="dxa"/>
            <w:shd w:val="clear" w:color="auto" w:fill="auto"/>
            <w:noWrap w:val="0"/>
            <w:vAlign w:val="center"/>
          </w:tcPr>
          <w:p w14:paraId="63267D79">
            <w:pPr>
              <w:pStyle w:val="19"/>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工作要求</w:t>
            </w:r>
          </w:p>
        </w:tc>
      </w:tr>
      <w:tr w14:paraId="1D46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dxa"/>
            <w:shd w:val="clear" w:color="auto" w:fill="auto"/>
            <w:noWrap w:val="0"/>
            <w:vAlign w:val="center"/>
          </w:tcPr>
          <w:p w14:paraId="78D715BD">
            <w:pPr>
              <w:pStyle w:val="19"/>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校园巡逻队</w:t>
            </w:r>
          </w:p>
        </w:tc>
        <w:tc>
          <w:tcPr>
            <w:tcW w:w="3193" w:type="dxa"/>
            <w:shd w:val="clear" w:color="auto" w:fill="auto"/>
            <w:noWrap w:val="0"/>
            <w:vAlign w:val="top"/>
          </w:tcPr>
          <w:p w14:paraId="3C0868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（1）学习贯彻安保工作方针、政策、法律法规和业务知识，提高业务技能，执行学校和保障服务部安全管理规定。</w:t>
            </w:r>
          </w:p>
          <w:p w14:paraId="472D8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负责对学校行政区、教学区、实验区、学生生活区、学生运动区以及重点要害部位进行昼夜治安消防巡逻，开展安全检查、安全防范和群防群治工作，落实安全防范措施，维护学校正常教学、科研、办公、学习、生活秩序。</w:t>
            </w:r>
          </w:p>
          <w:p w14:paraId="172E6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（3）协助学校做好校园治安管理、消防管理、交通管理等安全管理工作，配合开展校园治安综合治理工作，按照要求整治、清理影响和妨碍校园安全秩序的行为。</w:t>
            </w:r>
          </w:p>
          <w:p w14:paraId="1A183F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（4）做好反恐防暴工作，防范、制止校内治安、刑事案件发生，保护案发现场，维护现场秩序，配合做好案件查处和校园内部治安纠纷调解处理工作。</w:t>
            </w:r>
          </w:p>
          <w:p w14:paraId="14C68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（5）维护校园消防设施设备，发现设施设备问题隐患及时上报。</w:t>
            </w:r>
          </w:p>
          <w:p w14:paraId="6528A6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（6）协助做好校内机动车辆疏导、管理工作，清理校园乱停乱放车辆，维护道路秩序。</w:t>
            </w:r>
          </w:p>
          <w:p w14:paraId="3FD03C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（7）做好校内大型会议、活动值班警卫和校内突发事件应急处置工作。</w:t>
            </w:r>
          </w:p>
        </w:tc>
        <w:tc>
          <w:tcPr>
            <w:tcW w:w="5734" w:type="dxa"/>
            <w:shd w:val="clear" w:color="auto" w:fill="auto"/>
            <w:noWrap w:val="0"/>
            <w:vAlign w:val="top"/>
          </w:tcPr>
          <w:p w14:paraId="7972AB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（1）采取统一作息、统一出操、统一上岗、统一着装、统一装备，实行集中招聘、集中培训、集中管理的军事化管理和工作质量标准化、工作要求制度化、工作内容流程化相结合的管理模式。</w:t>
            </w:r>
          </w:p>
          <w:p w14:paraId="1FD83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（2）实行24小时工作制和分区域定点巡逻责任制，巡逻人员在本区域内白天、夜间不间断巡逻，严格按照巡逻线路、巡逻点位、巡逻时间进行巡逻。</w:t>
            </w:r>
          </w:p>
          <w:p w14:paraId="48EA2C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（3）值班时间内统一制式着装，戴帽子、扎腰带、戴值勤标志等，保持良好的精神状态，保持通讯工具24小时畅通。</w:t>
            </w:r>
          </w:p>
          <w:p w14:paraId="62FF0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（4）消防、治安巡逻记录填写认真、规范、清楚，工作交接有序，每周向保障服务部书面报告一周工作情况。</w:t>
            </w:r>
          </w:p>
          <w:p w14:paraId="572E2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巡逻人员在进行治安巡逻时要提高警惕、尽职尽责，对学校发生打架、斗殴、行凶、盗窃、滋事、火险、损坏公私财物、群体闹事等案事件和突发事件、安全事故，以及发现其他妨碍校园安全秩序的行为，要第一时间赶到现场进行控制、劝导、疏散并同时向保障服务部报告，按指令果断采取措施、及时处置，避免事态进一步扩大。</w:t>
            </w:r>
          </w:p>
          <w:p w14:paraId="10A06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（6）值班期间，认真履行职责，坚守岗位，文明规范值勤，不得与校内人员发生冲突，不得看书报刊物、饮酒、吃零食、睡觉、打游戏等从事与工作无关活动。</w:t>
            </w:r>
          </w:p>
          <w:p w14:paraId="0B06EC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（7）团结一致，令行禁止，服从管理，听从指挥。发现紧急情况、重大情况及时向保障服务部报告，不得擅自处置。</w:t>
            </w:r>
          </w:p>
          <w:p w14:paraId="4122D1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（8）在巡逻的过程中发现可疑人员要进行盘问、跟踪并向保障服务部报告，发现违规行为及时制止和处理。针对可疑情况要认真细致检查。</w:t>
            </w:r>
          </w:p>
          <w:p w14:paraId="13FE6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（9）巡逻时要严格按照规定执行，提高主动服务意识，注意值班、值勤规范，注意管理方式、文明用语，做到文明执勤，礼貌待人，处理问题要耐心细致、依法依规，维护安保管理工作良好形象。</w:t>
            </w:r>
          </w:p>
          <w:p w14:paraId="5E846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（10）做好交接班工作，接班人员不到岗时，交班人员不准离开岗位，不得迟到、早退、擅离职守，不得出现缺岗、空岗现象。</w:t>
            </w:r>
          </w:p>
        </w:tc>
      </w:tr>
    </w:tbl>
    <w:p w14:paraId="12AE745D">
      <w:pPr>
        <w:pStyle w:val="8"/>
        <w:pageBreakBefore w:val="0"/>
        <w:tabs>
          <w:tab w:val="left" w:pos="840"/>
        </w:tabs>
        <w:kinsoku/>
        <w:wordWrap/>
        <w:overflowPunct/>
        <w:topLinePunct w:val="0"/>
        <w:bidi w:val="0"/>
        <w:spacing w:before="0" w:after="0" w:line="360" w:lineRule="auto"/>
        <w:ind w:left="0" w:leftChars="0" w:right="0" w:firstLine="562" w:firstLineChars="200"/>
        <w:outlineLvl w:val="2"/>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档案资料管理要求</w:t>
      </w:r>
    </w:p>
    <w:p w14:paraId="54EA347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1.供应商要建立辖区内各楼宇秩序维护服务各项管理资料的收集、分类整理、归档等管理制度。</w:t>
      </w:r>
    </w:p>
    <w:p w14:paraId="783A0D6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2.在日常管理中要建立各楼宇值班制度、物品出入登记制度、设施巡查制度以及秩序维护人员业务培训考核等制度。</w:t>
      </w:r>
    </w:p>
    <w:p w14:paraId="7A4AF00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3.供应商要建立校园秩序巡查制度，建立巡查队伍，完善校园秩序管理档案。</w:t>
      </w:r>
    </w:p>
    <w:p w14:paraId="3040596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4.管理委托合同规定的其它事项。</w:t>
      </w:r>
    </w:p>
    <w:p w14:paraId="3F3B032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5.以上资料每月装订提交给委托人归档。</w:t>
      </w:r>
    </w:p>
    <w:p w14:paraId="18975917">
      <w:pPr>
        <w:pageBreakBefore w:val="0"/>
        <w:kinsoku/>
        <w:wordWrap/>
        <w:overflowPunct/>
        <w:topLinePunct w:val="0"/>
        <w:bidi w:val="0"/>
        <w:spacing w:line="360" w:lineRule="auto"/>
        <w:ind w:left="0" w:leftChars="0" w:right="0"/>
        <w:rPr>
          <w:rFonts w:hint="eastAsia" w:ascii="仿宋" w:hAnsi="仿宋" w:eastAsia="仿宋" w:cs="仿宋"/>
          <w:color w:val="auto"/>
          <w:sz w:val="28"/>
          <w:szCs w:val="28"/>
          <w:lang w:val="zh-CN"/>
        </w:rPr>
      </w:pPr>
    </w:p>
    <w:p w14:paraId="514DDA00">
      <w:pPr>
        <w:pStyle w:val="7"/>
        <w:pageBreakBefore w:val="0"/>
        <w:tabs>
          <w:tab w:val="left" w:pos="840"/>
        </w:tabs>
        <w:kinsoku/>
        <w:wordWrap/>
        <w:overflowPunct/>
        <w:topLinePunct w:val="0"/>
        <w:bidi w:val="0"/>
        <w:spacing w:before="0" w:after="0" w:line="360" w:lineRule="auto"/>
        <w:ind w:left="0" w:leftChars="0" w:right="0" w:firstLine="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val="zh-CN"/>
        </w:rPr>
        <w:t>节  学生公寓管理服务物业管理项目要求</w:t>
      </w:r>
    </w:p>
    <w:p w14:paraId="1D9561D9">
      <w:pPr>
        <w:pageBreakBefore w:val="0"/>
        <w:tabs>
          <w:tab w:val="left" w:pos="540"/>
          <w:tab w:val="left" w:pos="720"/>
        </w:tabs>
        <w:kinsoku/>
        <w:wordWrap/>
        <w:overflowPunct/>
        <w:topLinePunct w:val="0"/>
        <w:bidi w:val="0"/>
        <w:spacing w:line="360" w:lineRule="auto"/>
        <w:ind w:left="0" w:leftChars="0" w:right="0" w:firstLine="562" w:firstLineChars="200"/>
        <w:rPr>
          <w:rFonts w:hint="eastAsia" w:eastAsia="Arial Unicode MS"/>
          <w:lang w:val="zh-TW" w:eastAsia="zh-CN"/>
        </w:rPr>
      </w:pPr>
      <w:r>
        <w:rPr>
          <w:rFonts w:hint="eastAsia" w:ascii="仿宋" w:hAnsi="仿宋" w:eastAsia="仿宋" w:cs="仿宋"/>
          <w:b/>
          <w:bCs/>
          <w:color w:val="auto"/>
          <w:sz w:val="28"/>
          <w:szCs w:val="28"/>
        </w:rPr>
        <w:t>总体要求：提供专业、规范、安全、优质、高效、整洁的物业服务，创建安全、舒适、美观、卫生的住宿环境。最低用工人数不少于</w:t>
      </w:r>
      <w:r>
        <w:rPr>
          <w:rFonts w:hint="eastAsia" w:ascii="仿宋" w:hAnsi="仿宋" w:eastAsia="仿宋" w:cs="仿宋"/>
          <w:b/>
          <w:bCs/>
          <w:color w:val="auto"/>
          <w:sz w:val="28"/>
          <w:szCs w:val="28"/>
          <w:lang w:val="en-US" w:eastAsia="zh-CN"/>
        </w:rPr>
        <w:t>36</w:t>
      </w:r>
      <w:r>
        <w:rPr>
          <w:rFonts w:hint="eastAsia" w:ascii="仿宋" w:hAnsi="仿宋" w:eastAsia="仿宋" w:cs="仿宋"/>
          <w:b/>
          <w:bCs/>
          <w:color w:val="auto"/>
          <w:sz w:val="28"/>
          <w:szCs w:val="28"/>
        </w:rPr>
        <w:t>人。</w:t>
      </w:r>
      <w:r>
        <w:rPr>
          <w:rFonts w:hint="eastAsia" w:ascii="仿宋" w:hAnsi="仿宋" w:eastAsia="仿宋" w:cs="仿宋"/>
          <w:bCs/>
          <w:color w:val="auto"/>
          <w:sz w:val="28"/>
          <w:szCs w:val="28"/>
        </w:rPr>
        <w:t>学生公寓物业服务要实现科学化、规范化和标准化管理，各项管理和服务制度完善、机制健全、档案完整，在采购人管理部门的指导下，重点做好公寓的门卫管理、防火、防盗等工作以外，还要重视对外来人员身份检查与登记，严禁放行身份不明的人员出入学生公寓楼；严格对携进、出物品的管理，严禁无登记的大件或贵重物品离开学生公寓；负责楼宇内公共设备设施的管理、维护和报修，制定学生宿舍突发事件应急预案，及时正确处理突发事件，保证公寓内学生人身、财物和公共设施的安全。</w:t>
      </w:r>
    </w:p>
    <w:p w14:paraId="14114C13">
      <w:pPr>
        <w:pStyle w:val="8"/>
        <w:pageBreakBefore w:val="0"/>
        <w:tabs>
          <w:tab w:val="left" w:pos="840"/>
        </w:tabs>
        <w:kinsoku/>
        <w:wordWrap/>
        <w:overflowPunct/>
        <w:topLinePunct w:val="0"/>
        <w:bidi w:val="0"/>
        <w:spacing w:before="0" w:after="0" w:line="360" w:lineRule="auto"/>
        <w:ind w:left="0" w:leftChars="0" w:right="0" w:firstLine="562" w:firstLineChars="200"/>
        <w:outlineLvl w:val="2"/>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服务范围</w:t>
      </w:r>
    </w:p>
    <w:p w14:paraId="2205D5E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负责学校21栋单体学生公寓的</w:t>
      </w:r>
      <w:r>
        <w:rPr>
          <w:rFonts w:hint="eastAsia" w:ascii="仿宋" w:hAnsi="仿宋" w:eastAsia="仿宋" w:cs="仿宋"/>
          <w:bCs/>
          <w:color w:val="auto"/>
          <w:sz w:val="28"/>
          <w:szCs w:val="28"/>
          <w:lang w:val="en-US" w:eastAsia="zh-CN"/>
        </w:rPr>
        <w:t>门卫</w:t>
      </w:r>
      <w:r>
        <w:rPr>
          <w:rFonts w:hint="eastAsia" w:ascii="仿宋" w:hAnsi="仿宋" w:eastAsia="仿宋" w:cs="仿宋"/>
          <w:bCs/>
          <w:color w:val="auto"/>
          <w:sz w:val="28"/>
          <w:szCs w:val="28"/>
        </w:rPr>
        <w:t>管理、卫生管理、设施设备管理、节能管理以及公寓内学生的文明行为管理等工作。学生公寓楼宇基本情况及相关人员要求见下表：</w:t>
      </w:r>
    </w:p>
    <w:p w14:paraId="7CF58CBF">
      <w:pPr>
        <w:pageBreakBefore w:val="0"/>
        <w:tabs>
          <w:tab w:val="left" w:pos="540"/>
          <w:tab w:val="left" w:pos="720"/>
        </w:tabs>
        <w:kinsoku/>
        <w:wordWrap/>
        <w:overflowPunct/>
        <w:topLinePunct w:val="0"/>
        <w:bidi w:val="0"/>
        <w:spacing w:line="360" w:lineRule="auto"/>
        <w:ind w:left="0" w:leftChars="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学生公寓管理人员及各出入口</w:t>
      </w:r>
      <w:r>
        <w:rPr>
          <w:rFonts w:hint="eastAsia" w:ascii="仿宋" w:hAnsi="仿宋" w:eastAsia="仿宋" w:cs="仿宋"/>
          <w:b/>
          <w:bCs/>
          <w:color w:val="auto"/>
          <w:sz w:val="28"/>
          <w:szCs w:val="28"/>
          <w:lang w:eastAsia="zh-CN"/>
        </w:rPr>
        <w:t>门卫</w:t>
      </w:r>
      <w:r>
        <w:rPr>
          <w:rFonts w:hint="eastAsia" w:ascii="仿宋" w:hAnsi="仿宋" w:eastAsia="仿宋" w:cs="仿宋"/>
          <w:b/>
          <w:bCs/>
          <w:color w:val="auto"/>
          <w:sz w:val="28"/>
          <w:szCs w:val="28"/>
        </w:rPr>
        <w:t>人员配备情况一览表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01"/>
        <w:gridCol w:w="860"/>
        <w:gridCol w:w="1027"/>
        <w:gridCol w:w="4010"/>
      </w:tblGrid>
      <w:tr w14:paraId="7D4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7D5469EC">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2730" w:type="dxa"/>
            <w:noWrap w:val="0"/>
            <w:vAlign w:val="top"/>
          </w:tcPr>
          <w:p w14:paraId="73EA0EB8">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公寓名称</w:t>
            </w:r>
          </w:p>
        </w:tc>
        <w:tc>
          <w:tcPr>
            <w:tcW w:w="809" w:type="dxa"/>
            <w:noWrap w:val="0"/>
            <w:vAlign w:val="top"/>
          </w:tcPr>
          <w:p w14:paraId="34E3737B">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层数</w:t>
            </w:r>
          </w:p>
        </w:tc>
        <w:tc>
          <w:tcPr>
            <w:tcW w:w="967" w:type="dxa"/>
            <w:noWrap w:val="0"/>
            <w:vAlign w:val="top"/>
          </w:tcPr>
          <w:p w14:paraId="3D00E9F4">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人数</w:t>
            </w:r>
          </w:p>
        </w:tc>
        <w:tc>
          <w:tcPr>
            <w:tcW w:w="3774" w:type="dxa"/>
            <w:noWrap w:val="0"/>
            <w:vAlign w:val="top"/>
          </w:tcPr>
          <w:p w14:paraId="3E3C5614">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备注</w:t>
            </w:r>
          </w:p>
        </w:tc>
      </w:tr>
      <w:tr w14:paraId="12F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054F5161">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2730" w:type="dxa"/>
            <w:noWrap w:val="0"/>
            <w:vAlign w:val="center"/>
          </w:tcPr>
          <w:p w14:paraId="311B1A8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静苑1-2号楼</w:t>
            </w:r>
          </w:p>
        </w:tc>
        <w:tc>
          <w:tcPr>
            <w:tcW w:w="809" w:type="dxa"/>
            <w:noWrap w:val="0"/>
            <w:vAlign w:val="center"/>
          </w:tcPr>
          <w:p w14:paraId="1F22921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967" w:type="dxa"/>
            <w:noWrap w:val="0"/>
            <w:vAlign w:val="top"/>
          </w:tcPr>
          <w:p w14:paraId="72A3470F">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p>
        </w:tc>
        <w:tc>
          <w:tcPr>
            <w:tcW w:w="3774" w:type="dxa"/>
            <w:vMerge w:val="restart"/>
            <w:noWrap w:val="0"/>
            <w:vAlign w:val="center"/>
          </w:tcPr>
          <w:p w14:paraId="2BA9065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学生公寓楼总面积213273</w:t>
            </w:r>
            <w:r>
              <w:rPr>
                <w:rFonts w:hint="eastAsia" w:ascii="宋体" w:hAnsi="宋体" w:eastAsia="宋体" w:cs="宋体"/>
                <w:b w:val="0"/>
                <w:bCs w:val="0"/>
                <w:color w:val="auto"/>
                <w:sz w:val="24"/>
                <w:szCs w:val="24"/>
              </w:rPr>
              <w:t>㎡</w:t>
            </w:r>
            <w:r>
              <w:rPr>
                <w:rFonts w:hint="eastAsia" w:ascii="仿宋" w:hAnsi="仿宋" w:eastAsia="仿宋" w:cs="仿宋"/>
                <w:b w:val="0"/>
                <w:bCs w:val="0"/>
                <w:color w:val="auto"/>
                <w:sz w:val="24"/>
                <w:szCs w:val="24"/>
              </w:rPr>
              <w:t>。</w:t>
            </w:r>
          </w:p>
          <w:p w14:paraId="48DC21F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共</w:t>
            </w:r>
            <w:r>
              <w:rPr>
                <w:rFonts w:hint="eastAsia" w:ascii="仿宋" w:hAnsi="仿宋" w:eastAsia="仿宋" w:cs="仿宋"/>
                <w:b w:val="0"/>
                <w:bCs w:val="0"/>
                <w:color w:val="auto"/>
                <w:sz w:val="24"/>
                <w:szCs w:val="24"/>
                <w:lang w:eastAsia="zh-CN"/>
              </w:rPr>
              <w:t>有服务人员</w:t>
            </w:r>
            <w:r>
              <w:rPr>
                <w:rFonts w:hint="eastAsia" w:ascii="仿宋" w:hAnsi="仿宋" w:eastAsia="仿宋" w:cs="仿宋"/>
                <w:b w:val="0"/>
                <w:bCs w:val="0"/>
                <w:color w:val="auto"/>
                <w:sz w:val="24"/>
                <w:szCs w:val="24"/>
                <w:lang w:val="en-US" w:eastAsia="zh-CN"/>
              </w:rPr>
              <w:t>36名，其中包含学生公寓主管1人，</w:t>
            </w:r>
            <w:r>
              <w:rPr>
                <w:rFonts w:hint="eastAsia" w:ascii="仿宋" w:hAnsi="仿宋" w:eastAsia="仿宋" w:cs="仿宋"/>
                <w:b w:val="0"/>
                <w:bCs w:val="0"/>
                <w:color w:val="auto"/>
                <w:sz w:val="24"/>
                <w:szCs w:val="24"/>
              </w:rPr>
              <w:t>学生公寓出入口</w:t>
            </w:r>
            <w:r>
              <w:rPr>
                <w:rFonts w:hint="eastAsia" w:ascii="仿宋" w:hAnsi="仿宋" w:eastAsia="仿宋" w:cs="仿宋"/>
                <w:b w:val="0"/>
                <w:bCs w:val="0"/>
                <w:color w:val="auto"/>
                <w:sz w:val="24"/>
                <w:szCs w:val="24"/>
                <w:lang w:eastAsia="zh-CN"/>
              </w:rPr>
              <w:t>三班倒。</w:t>
            </w:r>
          </w:p>
        </w:tc>
      </w:tr>
      <w:tr w14:paraId="75C1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023126ED">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2730" w:type="dxa"/>
            <w:noWrap w:val="0"/>
            <w:vAlign w:val="center"/>
          </w:tcPr>
          <w:p w14:paraId="0FC5404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静苑3号楼（进</w:t>
            </w:r>
            <w:r>
              <w:rPr>
                <w:rFonts w:hint="eastAsia" w:ascii="仿宋" w:hAnsi="仿宋" w:eastAsia="仿宋" w:cs="仿宋"/>
                <w:b w:val="0"/>
                <w:bCs w:val="0"/>
                <w:color w:val="auto"/>
                <w:sz w:val="24"/>
                <w:szCs w:val="24"/>
                <w:lang w:eastAsia="zh-CN"/>
              </w:rPr>
              <w:t>出</w:t>
            </w:r>
            <w:r>
              <w:rPr>
                <w:rFonts w:hint="eastAsia" w:ascii="仿宋" w:hAnsi="仿宋" w:eastAsia="仿宋" w:cs="仿宋"/>
                <w:b w:val="0"/>
                <w:bCs w:val="0"/>
                <w:color w:val="auto"/>
                <w:sz w:val="24"/>
                <w:szCs w:val="24"/>
              </w:rPr>
              <w:t>口）</w:t>
            </w:r>
          </w:p>
        </w:tc>
        <w:tc>
          <w:tcPr>
            <w:tcW w:w="809" w:type="dxa"/>
            <w:noWrap w:val="0"/>
            <w:vAlign w:val="center"/>
          </w:tcPr>
          <w:p w14:paraId="022101D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967" w:type="dxa"/>
            <w:noWrap w:val="0"/>
            <w:vAlign w:val="center"/>
          </w:tcPr>
          <w:p w14:paraId="5C650EF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171A089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2F04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2B1FAFFE">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2730" w:type="dxa"/>
            <w:shd w:val="clear" w:color="auto" w:fill="auto"/>
            <w:noWrap w:val="0"/>
            <w:vAlign w:val="center"/>
          </w:tcPr>
          <w:p w14:paraId="0E41A8F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静苑4-6号楼</w:t>
            </w:r>
          </w:p>
        </w:tc>
        <w:tc>
          <w:tcPr>
            <w:tcW w:w="809" w:type="dxa"/>
            <w:shd w:val="clear" w:color="auto" w:fill="auto"/>
            <w:noWrap w:val="0"/>
            <w:vAlign w:val="center"/>
          </w:tcPr>
          <w:p w14:paraId="543D929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w:t>
            </w:r>
          </w:p>
        </w:tc>
        <w:tc>
          <w:tcPr>
            <w:tcW w:w="967" w:type="dxa"/>
            <w:shd w:val="clear" w:color="auto" w:fill="auto"/>
            <w:noWrap w:val="0"/>
            <w:vAlign w:val="top"/>
          </w:tcPr>
          <w:p w14:paraId="7A032339">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147DD8A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510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1CB4347C">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2730" w:type="dxa"/>
            <w:shd w:val="clear" w:color="auto" w:fill="auto"/>
            <w:noWrap w:val="0"/>
            <w:vAlign w:val="center"/>
          </w:tcPr>
          <w:p w14:paraId="1CB02FC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雅苑1-3号楼</w:t>
            </w:r>
          </w:p>
        </w:tc>
        <w:tc>
          <w:tcPr>
            <w:tcW w:w="809" w:type="dxa"/>
            <w:shd w:val="clear" w:color="auto" w:fill="auto"/>
            <w:noWrap w:val="0"/>
            <w:vAlign w:val="center"/>
          </w:tcPr>
          <w:p w14:paraId="252FA5F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w:t>
            </w:r>
          </w:p>
        </w:tc>
        <w:tc>
          <w:tcPr>
            <w:tcW w:w="967" w:type="dxa"/>
            <w:shd w:val="clear" w:color="auto" w:fill="auto"/>
            <w:noWrap w:val="0"/>
            <w:vAlign w:val="top"/>
          </w:tcPr>
          <w:p w14:paraId="7B0BAC09">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72814AF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74EE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39E6CAB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2730" w:type="dxa"/>
            <w:shd w:val="clear" w:color="auto" w:fill="auto"/>
            <w:noWrap w:val="0"/>
            <w:vAlign w:val="center"/>
          </w:tcPr>
          <w:p w14:paraId="7CD6A84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雅苑4-5号楼</w:t>
            </w:r>
          </w:p>
        </w:tc>
        <w:tc>
          <w:tcPr>
            <w:tcW w:w="809" w:type="dxa"/>
            <w:shd w:val="clear" w:color="auto" w:fill="auto"/>
            <w:noWrap w:val="0"/>
            <w:vAlign w:val="center"/>
          </w:tcPr>
          <w:p w14:paraId="5C99CDF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w:t>
            </w:r>
          </w:p>
        </w:tc>
        <w:tc>
          <w:tcPr>
            <w:tcW w:w="967" w:type="dxa"/>
            <w:shd w:val="clear" w:color="auto" w:fill="auto"/>
            <w:noWrap w:val="0"/>
            <w:vAlign w:val="top"/>
          </w:tcPr>
          <w:p w14:paraId="60E9F501">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3964B7C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18AB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1BE7B789">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2730" w:type="dxa"/>
            <w:shd w:val="clear" w:color="auto" w:fill="auto"/>
            <w:noWrap w:val="0"/>
            <w:vAlign w:val="center"/>
          </w:tcPr>
          <w:p w14:paraId="3BA80BC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雅苑6号楼</w:t>
            </w:r>
          </w:p>
        </w:tc>
        <w:tc>
          <w:tcPr>
            <w:tcW w:w="809" w:type="dxa"/>
            <w:shd w:val="clear" w:color="auto" w:fill="auto"/>
            <w:noWrap w:val="0"/>
            <w:vAlign w:val="center"/>
          </w:tcPr>
          <w:p w14:paraId="7D68B14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w:t>
            </w:r>
          </w:p>
        </w:tc>
        <w:tc>
          <w:tcPr>
            <w:tcW w:w="967" w:type="dxa"/>
            <w:shd w:val="clear" w:color="auto" w:fill="auto"/>
            <w:noWrap w:val="0"/>
            <w:vAlign w:val="top"/>
          </w:tcPr>
          <w:p w14:paraId="2C59A1FB">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2</w:t>
            </w:r>
          </w:p>
        </w:tc>
        <w:tc>
          <w:tcPr>
            <w:tcW w:w="3774" w:type="dxa"/>
            <w:vMerge w:val="continue"/>
            <w:noWrap w:val="0"/>
            <w:vAlign w:val="top"/>
          </w:tcPr>
          <w:p w14:paraId="3EC1759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693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68221A63">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2730" w:type="dxa"/>
            <w:shd w:val="clear" w:color="auto" w:fill="auto"/>
            <w:noWrap w:val="0"/>
            <w:vAlign w:val="center"/>
          </w:tcPr>
          <w:p w14:paraId="0E34772B">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雅苑7-8号楼</w:t>
            </w:r>
          </w:p>
        </w:tc>
        <w:tc>
          <w:tcPr>
            <w:tcW w:w="809" w:type="dxa"/>
            <w:shd w:val="clear" w:color="auto" w:fill="auto"/>
            <w:noWrap w:val="0"/>
            <w:vAlign w:val="center"/>
          </w:tcPr>
          <w:p w14:paraId="7B1815F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w:t>
            </w:r>
          </w:p>
        </w:tc>
        <w:tc>
          <w:tcPr>
            <w:tcW w:w="967" w:type="dxa"/>
            <w:shd w:val="clear" w:color="auto" w:fill="auto"/>
            <w:noWrap w:val="0"/>
            <w:vAlign w:val="top"/>
          </w:tcPr>
          <w:p w14:paraId="4F685BD2">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31F5D79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68F6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138E9641">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2730" w:type="dxa"/>
            <w:shd w:val="clear" w:color="auto" w:fill="auto"/>
            <w:noWrap w:val="0"/>
            <w:vAlign w:val="center"/>
          </w:tcPr>
          <w:p w14:paraId="0C41588B">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馨苑1--3号楼</w:t>
            </w:r>
          </w:p>
        </w:tc>
        <w:tc>
          <w:tcPr>
            <w:tcW w:w="809" w:type="dxa"/>
            <w:shd w:val="clear" w:color="auto" w:fill="auto"/>
            <w:noWrap w:val="0"/>
            <w:vAlign w:val="center"/>
          </w:tcPr>
          <w:p w14:paraId="4990055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6</w:t>
            </w:r>
          </w:p>
        </w:tc>
        <w:tc>
          <w:tcPr>
            <w:tcW w:w="967" w:type="dxa"/>
            <w:shd w:val="clear" w:color="auto" w:fill="auto"/>
            <w:noWrap w:val="0"/>
            <w:vAlign w:val="top"/>
          </w:tcPr>
          <w:p w14:paraId="5EBBDB3D">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295071C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12C7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1CBCFB4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p>
        </w:tc>
        <w:tc>
          <w:tcPr>
            <w:tcW w:w="2730" w:type="dxa"/>
            <w:shd w:val="clear" w:color="auto" w:fill="auto"/>
            <w:noWrap w:val="0"/>
            <w:vAlign w:val="center"/>
          </w:tcPr>
          <w:p w14:paraId="2D23ABD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怡苑1号楼</w:t>
            </w:r>
          </w:p>
        </w:tc>
        <w:tc>
          <w:tcPr>
            <w:tcW w:w="809" w:type="dxa"/>
            <w:shd w:val="clear" w:color="auto" w:fill="auto"/>
            <w:noWrap w:val="0"/>
            <w:vAlign w:val="center"/>
          </w:tcPr>
          <w:p w14:paraId="433E4BC2">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11</w:t>
            </w:r>
          </w:p>
        </w:tc>
        <w:tc>
          <w:tcPr>
            <w:tcW w:w="967" w:type="dxa"/>
            <w:shd w:val="clear" w:color="auto" w:fill="auto"/>
            <w:noWrap w:val="0"/>
            <w:vAlign w:val="top"/>
          </w:tcPr>
          <w:p w14:paraId="4AD5C724">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1FB070A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1B57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45048F13">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p>
        </w:tc>
        <w:tc>
          <w:tcPr>
            <w:tcW w:w="2730" w:type="dxa"/>
            <w:shd w:val="clear" w:color="auto" w:fill="auto"/>
            <w:noWrap w:val="0"/>
            <w:vAlign w:val="center"/>
          </w:tcPr>
          <w:p w14:paraId="16B58D8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怡苑2号楼</w:t>
            </w:r>
          </w:p>
        </w:tc>
        <w:tc>
          <w:tcPr>
            <w:tcW w:w="809" w:type="dxa"/>
            <w:shd w:val="clear" w:color="auto" w:fill="auto"/>
            <w:noWrap w:val="0"/>
            <w:vAlign w:val="center"/>
          </w:tcPr>
          <w:p w14:paraId="09FBAB57">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11</w:t>
            </w:r>
          </w:p>
        </w:tc>
        <w:tc>
          <w:tcPr>
            <w:tcW w:w="967" w:type="dxa"/>
            <w:shd w:val="clear" w:color="auto" w:fill="auto"/>
            <w:noWrap w:val="0"/>
            <w:vAlign w:val="top"/>
          </w:tcPr>
          <w:p w14:paraId="7CC8882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4953746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25DF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0F2EBF8E">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p>
        </w:tc>
        <w:tc>
          <w:tcPr>
            <w:tcW w:w="2730" w:type="dxa"/>
            <w:shd w:val="clear" w:color="auto" w:fill="auto"/>
            <w:noWrap w:val="0"/>
            <w:vAlign w:val="center"/>
          </w:tcPr>
          <w:p w14:paraId="2AD1A0C9">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怡苑3号楼</w:t>
            </w:r>
          </w:p>
        </w:tc>
        <w:tc>
          <w:tcPr>
            <w:tcW w:w="809" w:type="dxa"/>
            <w:shd w:val="clear" w:color="auto" w:fill="auto"/>
            <w:noWrap w:val="0"/>
            <w:vAlign w:val="center"/>
          </w:tcPr>
          <w:p w14:paraId="200ABA37">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11</w:t>
            </w:r>
          </w:p>
        </w:tc>
        <w:tc>
          <w:tcPr>
            <w:tcW w:w="967" w:type="dxa"/>
            <w:shd w:val="clear" w:color="auto" w:fill="auto"/>
            <w:noWrap w:val="0"/>
            <w:vAlign w:val="top"/>
          </w:tcPr>
          <w:p w14:paraId="00043C1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239342C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438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top"/>
          </w:tcPr>
          <w:p w14:paraId="0C584AF5">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p>
        </w:tc>
        <w:tc>
          <w:tcPr>
            <w:tcW w:w="2730" w:type="dxa"/>
            <w:shd w:val="clear" w:color="auto" w:fill="auto"/>
            <w:noWrap w:val="0"/>
            <w:vAlign w:val="center"/>
          </w:tcPr>
          <w:p w14:paraId="04DF6E27">
            <w:pPr>
              <w:pageBreakBefore w:val="0"/>
              <w:kinsoku/>
              <w:wordWrap/>
              <w:overflowPunct/>
              <w:topLinePunct w:val="0"/>
              <w:bidi w:val="0"/>
              <w:spacing w:line="360" w:lineRule="auto"/>
              <w:ind w:left="0" w:leftChars="0" w:right="0" w:firstLine="480" w:firstLineChars="200"/>
              <w:jc w:val="both"/>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怡苑4号楼</w:t>
            </w:r>
          </w:p>
        </w:tc>
        <w:tc>
          <w:tcPr>
            <w:tcW w:w="809" w:type="dxa"/>
            <w:shd w:val="clear" w:color="auto" w:fill="auto"/>
            <w:noWrap w:val="0"/>
            <w:vAlign w:val="center"/>
          </w:tcPr>
          <w:p w14:paraId="279634BB">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rPr>
              <w:t>11</w:t>
            </w:r>
          </w:p>
        </w:tc>
        <w:tc>
          <w:tcPr>
            <w:tcW w:w="967" w:type="dxa"/>
            <w:shd w:val="clear" w:color="auto" w:fill="auto"/>
            <w:noWrap w:val="0"/>
            <w:vAlign w:val="center"/>
          </w:tcPr>
          <w:p w14:paraId="5B823468">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p>
        </w:tc>
        <w:tc>
          <w:tcPr>
            <w:tcW w:w="3774" w:type="dxa"/>
            <w:vMerge w:val="continue"/>
            <w:noWrap w:val="0"/>
            <w:vAlign w:val="top"/>
          </w:tcPr>
          <w:p w14:paraId="1F4EA31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04B5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1" w:type="dxa"/>
            <w:noWrap w:val="0"/>
            <w:vAlign w:val="center"/>
          </w:tcPr>
          <w:p w14:paraId="44494E40">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p>
        </w:tc>
        <w:tc>
          <w:tcPr>
            <w:tcW w:w="2730" w:type="dxa"/>
            <w:noWrap w:val="0"/>
            <w:vAlign w:val="center"/>
          </w:tcPr>
          <w:p w14:paraId="24D69DEB">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学生公寓主管</w:t>
            </w:r>
          </w:p>
        </w:tc>
        <w:tc>
          <w:tcPr>
            <w:tcW w:w="809" w:type="dxa"/>
            <w:noWrap w:val="0"/>
            <w:vAlign w:val="center"/>
          </w:tcPr>
          <w:p w14:paraId="318FA65E">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967" w:type="dxa"/>
            <w:noWrap w:val="0"/>
            <w:vAlign w:val="center"/>
          </w:tcPr>
          <w:p w14:paraId="56C5C4FA">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3774" w:type="dxa"/>
            <w:vMerge w:val="continue"/>
            <w:noWrap w:val="0"/>
            <w:vAlign w:val="top"/>
          </w:tcPr>
          <w:p w14:paraId="0D40491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p>
        </w:tc>
      </w:tr>
      <w:tr w14:paraId="50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0" w:type="dxa"/>
            <w:gridSpan w:val="3"/>
            <w:noWrap w:val="0"/>
            <w:vAlign w:val="top"/>
          </w:tcPr>
          <w:p w14:paraId="478CA746">
            <w:pPr>
              <w:pageBreakBefore w:val="0"/>
              <w:tabs>
                <w:tab w:val="left" w:pos="540"/>
                <w:tab w:val="left" w:pos="720"/>
              </w:tabs>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人数合计</w:t>
            </w:r>
          </w:p>
        </w:tc>
        <w:tc>
          <w:tcPr>
            <w:tcW w:w="4741" w:type="dxa"/>
            <w:gridSpan w:val="2"/>
            <w:noWrap w:val="0"/>
            <w:vAlign w:val="top"/>
          </w:tcPr>
          <w:p w14:paraId="082F3F5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36</w:t>
            </w:r>
            <w:r>
              <w:rPr>
                <w:rFonts w:hint="eastAsia" w:ascii="仿宋" w:hAnsi="仿宋" w:eastAsia="仿宋" w:cs="仿宋"/>
                <w:b w:val="0"/>
                <w:bCs w:val="0"/>
                <w:color w:val="auto"/>
                <w:sz w:val="24"/>
                <w:szCs w:val="24"/>
              </w:rPr>
              <w:t>人</w:t>
            </w:r>
          </w:p>
        </w:tc>
      </w:tr>
    </w:tbl>
    <w:p w14:paraId="13DB4A65">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服务内容</w:t>
      </w:r>
    </w:p>
    <w:p w14:paraId="4F90CF3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主要包括学生宿舍区的</w:t>
      </w:r>
      <w:r>
        <w:rPr>
          <w:rFonts w:hint="eastAsia" w:ascii="仿宋" w:hAnsi="仿宋" w:eastAsia="仿宋" w:cs="仿宋"/>
          <w:bCs/>
          <w:color w:val="auto"/>
          <w:sz w:val="28"/>
          <w:szCs w:val="28"/>
          <w:lang w:eastAsia="zh-CN"/>
        </w:rPr>
        <w:t>门岗</w:t>
      </w:r>
      <w:r>
        <w:rPr>
          <w:rFonts w:hint="eastAsia" w:ascii="仿宋" w:hAnsi="仿宋" w:eastAsia="仿宋" w:cs="仿宋"/>
          <w:bCs/>
          <w:color w:val="auto"/>
          <w:sz w:val="28"/>
          <w:szCs w:val="28"/>
        </w:rPr>
        <w:t>值日、安全检查，学生公寓各项设施设备资产管理，按规定时间关闭及开放宿舍区大门，学生晚归登记等。协助学校公寓管理部门做好新生宿舍的维护以及家具的验收、卫生工具、钥匙分发等工作。负责学生公寓的防疫、消毒工作，协助保卫处做好学生公寓内的消防安全工作，协助学生工作部门组织好学生文明宿舍创建等工作。主要服务内容见下表：</w:t>
      </w:r>
    </w:p>
    <w:p w14:paraId="48816D52">
      <w:pPr>
        <w:pageBreakBefore w:val="0"/>
        <w:tabs>
          <w:tab w:val="left" w:pos="540"/>
          <w:tab w:val="left" w:pos="720"/>
        </w:tabs>
        <w:kinsoku/>
        <w:wordWrap/>
        <w:overflowPunct/>
        <w:topLinePunct w:val="0"/>
        <w:bidi w:val="0"/>
        <w:spacing w:line="360" w:lineRule="auto"/>
        <w:ind w:left="0" w:leftChars="0" w:right="0" w:firstLine="562" w:firstLineChars="200"/>
        <w:jc w:val="center"/>
        <w:rPr>
          <w:rFonts w:hint="eastAsia" w:ascii="仿宋" w:hAnsi="仿宋" w:eastAsia="仿宋" w:cs="仿宋"/>
          <w:bCs/>
          <w:color w:val="auto"/>
          <w:sz w:val="28"/>
          <w:szCs w:val="28"/>
        </w:rPr>
      </w:pPr>
      <w:r>
        <w:rPr>
          <w:rFonts w:hint="eastAsia" w:ascii="仿宋" w:hAnsi="仿宋" w:eastAsia="仿宋" w:cs="仿宋"/>
          <w:b/>
          <w:bCs/>
          <w:color w:val="auto"/>
          <w:sz w:val="28"/>
          <w:szCs w:val="28"/>
        </w:rPr>
        <w:t>学生公寓主要服务内容一览表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895"/>
        <w:gridCol w:w="6434"/>
      </w:tblGrid>
      <w:tr w14:paraId="2248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noWrap w:val="0"/>
            <w:vAlign w:val="center"/>
          </w:tcPr>
          <w:p w14:paraId="3D1083DF">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主要指标</w:t>
            </w:r>
          </w:p>
        </w:tc>
        <w:tc>
          <w:tcPr>
            <w:tcW w:w="1895" w:type="dxa"/>
            <w:noWrap w:val="0"/>
            <w:vAlign w:val="center"/>
          </w:tcPr>
          <w:p w14:paraId="58FBC1DA">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实施措施</w:t>
            </w:r>
          </w:p>
        </w:tc>
        <w:tc>
          <w:tcPr>
            <w:tcW w:w="6434" w:type="dxa"/>
            <w:noWrap w:val="0"/>
            <w:vAlign w:val="center"/>
          </w:tcPr>
          <w:p w14:paraId="1E7C6516">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安全管理</w:t>
            </w:r>
          </w:p>
        </w:tc>
      </w:tr>
      <w:tr w14:paraId="3259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restart"/>
            <w:noWrap w:val="0"/>
            <w:vAlign w:val="center"/>
          </w:tcPr>
          <w:p w14:paraId="58B1A563">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安全管理、</w:t>
            </w:r>
            <w:r>
              <w:rPr>
                <w:rFonts w:hint="eastAsia" w:ascii="仿宋" w:hAnsi="仿宋" w:eastAsia="仿宋" w:cs="仿宋"/>
                <w:b w:val="0"/>
                <w:bCs w:val="0"/>
                <w:color w:val="auto"/>
                <w:sz w:val="24"/>
                <w:szCs w:val="24"/>
              </w:rPr>
              <w:t>学生行为管理</w:t>
            </w:r>
          </w:p>
        </w:tc>
        <w:tc>
          <w:tcPr>
            <w:tcW w:w="1895" w:type="dxa"/>
            <w:noWrap w:val="0"/>
            <w:vAlign w:val="center"/>
          </w:tcPr>
          <w:p w14:paraId="3E94C103">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学生公寓无火灾事件发生</w:t>
            </w:r>
          </w:p>
        </w:tc>
        <w:tc>
          <w:tcPr>
            <w:tcW w:w="6434" w:type="dxa"/>
            <w:noWrap w:val="0"/>
            <w:vAlign w:val="top"/>
          </w:tcPr>
          <w:p w14:paraId="19654F07">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加强门卫管理员、</w:t>
            </w:r>
            <w:r>
              <w:rPr>
                <w:rFonts w:hint="eastAsia" w:ascii="仿宋" w:hAnsi="仿宋" w:eastAsia="仿宋" w:cs="仿宋"/>
                <w:b w:val="0"/>
                <w:bCs w:val="0"/>
                <w:color w:val="auto"/>
                <w:sz w:val="24"/>
                <w:szCs w:val="24"/>
              </w:rPr>
              <w:t>保洁工作人员的</w:t>
            </w:r>
            <w:r>
              <w:rPr>
                <w:rFonts w:hint="eastAsia" w:ascii="仿宋" w:hAnsi="仿宋" w:eastAsia="仿宋" w:cs="仿宋"/>
                <w:b w:val="0"/>
                <w:bCs w:val="0"/>
                <w:color w:val="auto"/>
                <w:sz w:val="24"/>
                <w:szCs w:val="24"/>
                <w:lang w:val="zh-CN"/>
              </w:rPr>
              <w:t>消防安全知识</w:t>
            </w:r>
            <w:r>
              <w:rPr>
                <w:rFonts w:hint="eastAsia" w:ascii="仿宋" w:hAnsi="仿宋" w:eastAsia="仿宋" w:cs="仿宋"/>
                <w:b w:val="0"/>
                <w:bCs w:val="0"/>
                <w:color w:val="auto"/>
                <w:sz w:val="24"/>
                <w:szCs w:val="24"/>
              </w:rPr>
              <w:t>培训</w:t>
            </w:r>
            <w:r>
              <w:rPr>
                <w:rFonts w:hint="eastAsia" w:ascii="仿宋" w:hAnsi="仿宋" w:eastAsia="仿宋" w:cs="仿宋"/>
                <w:b w:val="0"/>
                <w:bCs w:val="0"/>
                <w:color w:val="auto"/>
                <w:sz w:val="24"/>
                <w:szCs w:val="24"/>
                <w:lang w:val="zh-CN"/>
              </w:rPr>
              <w:t>，发现隐患、苗头及时处理；2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制定火灾事故应急措施</w:t>
            </w:r>
            <w:r>
              <w:rPr>
                <w:rFonts w:hint="eastAsia" w:ascii="仿宋" w:hAnsi="仿宋" w:eastAsia="仿宋" w:cs="仿宋"/>
                <w:b w:val="0"/>
                <w:bCs w:val="0"/>
                <w:color w:val="auto"/>
                <w:sz w:val="24"/>
                <w:szCs w:val="24"/>
              </w:rPr>
              <w:t>，报采购人管理部门同意并</w:t>
            </w:r>
            <w:r>
              <w:rPr>
                <w:rFonts w:hint="eastAsia" w:ascii="仿宋" w:hAnsi="仿宋" w:eastAsia="仿宋" w:cs="仿宋"/>
                <w:b w:val="0"/>
                <w:bCs w:val="0"/>
                <w:color w:val="auto"/>
                <w:sz w:val="24"/>
                <w:szCs w:val="24"/>
                <w:lang w:val="zh-CN"/>
              </w:rPr>
              <w:t>定期演练；</w:t>
            </w:r>
          </w:p>
        </w:tc>
      </w:tr>
      <w:tr w14:paraId="0A0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continue"/>
            <w:noWrap w:val="0"/>
            <w:vAlign w:val="top"/>
          </w:tcPr>
          <w:p w14:paraId="5E57A500">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p>
        </w:tc>
        <w:tc>
          <w:tcPr>
            <w:tcW w:w="1895" w:type="dxa"/>
            <w:noWrap w:val="0"/>
            <w:vAlign w:val="center"/>
          </w:tcPr>
          <w:p w14:paraId="47DDD521">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学生公寓无偷盗案件发生</w:t>
            </w:r>
          </w:p>
        </w:tc>
        <w:tc>
          <w:tcPr>
            <w:tcW w:w="6434" w:type="dxa"/>
            <w:noWrap w:val="0"/>
            <w:vAlign w:val="top"/>
          </w:tcPr>
          <w:p w14:paraId="1B488F87">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公寓</w:t>
            </w:r>
            <w:r>
              <w:rPr>
                <w:rFonts w:hint="eastAsia" w:ascii="仿宋" w:hAnsi="仿宋" w:eastAsia="仿宋" w:cs="仿宋"/>
                <w:b w:val="0"/>
                <w:bCs w:val="0"/>
                <w:color w:val="auto"/>
                <w:sz w:val="24"/>
                <w:szCs w:val="24"/>
                <w:lang w:val="zh-CN"/>
              </w:rPr>
              <w:t>管理员及门卫值班人员对来访人员严格执行登记手续，杜绝闲杂人员进入学生公寓；2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对学生公寓内物品的出入实行登记放行手续；3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执行24小时值班巡查制度，确保无偷盗案件发生；4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严格遵守校方制定的</w:t>
            </w:r>
            <w:r>
              <w:rPr>
                <w:rFonts w:hint="eastAsia" w:ascii="仿宋" w:hAnsi="仿宋" w:eastAsia="仿宋" w:cs="仿宋"/>
                <w:b w:val="0"/>
                <w:bCs w:val="0"/>
                <w:color w:val="auto"/>
                <w:sz w:val="24"/>
                <w:szCs w:val="24"/>
                <w:lang w:val="zh-CN"/>
              </w:rPr>
              <w:t>公寓钥匙管理规定，钥匙的登记、领用有序。</w:t>
            </w:r>
          </w:p>
        </w:tc>
      </w:tr>
      <w:tr w14:paraId="2A7B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continue"/>
            <w:noWrap w:val="0"/>
            <w:vAlign w:val="top"/>
          </w:tcPr>
          <w:p w14:paraId="46E84A42">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p>
        </w:tc>
        <w:tc>
          <w:tcPr>
            <w:tcW w:w="1895" w:type="dxa"/>
            <w:noWrap w:val="0"/>
            <w:vAlign w:val="center"/>
          </w:tcPr>
          <w:p w14:paraId="1B56134D">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学生公寓无男女同寝、斗殴等事件发生</w:t>
            </w:r>
          </w:p>
        </w:tc>
        <w:tc>
          <w:tcPr>
            <w:tcW w:w="6434" w:type="dxa"/>
            <w:noWrap w:val="0"/>
            <w:vAlign w:val="top"/>
          </w:tcPr>
          <w:p w14:paraId="385DE12F">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严格执行公寓管理制度，异性同学及异性来访者不得进入寝室；2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制定斗殴事件的应急程序和解决措施，定期演练；</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积极引导学生在公寓内要讲文明、讲礼貌。</w:t>
            </w:r>
          </w:p>
        </w:tc>
      </w:tr>
      <w:tr w14:paraId="4044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restart"/>
            <w:noWrap w:val="0"/>
            <w:vAlign w:val="center"/>
          </w:tcPr>
          <w:p w14:paraId="425A1BDE">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学生公寓</w:t>
            </w:r>
            <w:r>
              <w:rPr>
                <w:rFonts w:hint="eastAsia" w:ascii="仿宋" w:hAnsi="仿宋" w:eastAsia="仿宋" w:cs="仿宋"/>
                <w:b w:val="0"/>
                <w:bCs w:val="0"/>
                <w:color w:val="auto"/>
                <w:sz w:val="24"/>
                <w:szCs w:val="24"/>
                <w:lang w:val="zh-CN"/>
              </w:rPr>
              <w:t>环境卫生</w:t>
            </w:r>
            <w:r>
              <w:rPr>
                <w:rFonts w:hint="eastAsia" w:ascii="仿宋" w:hAnsi="仿宋" w:eastAsia="仿宋" w:cs="仿宋"/>
                <w:b w:val="0"/>
                <w:bCs w:val="0"/>
                <w:color w:val="auto"/>
                <w:sz w:val="24"/>
                <w:szCs w:val="24"/>
              </w:rPr>
              <w:t>监督</w:t>
            </w:r>
            <w:r>
              <w:rPr>
                <w:rFonts w:hint="eastAsia" w:ascii="仿宋" w:hAnsi="仿宋" w:eastAsia="仿宋" w:cs="仿宋"/>
                <w:b w:val="0"/>
                <w:bCs w:val="0"/>
                <w:color w:val="auto"/>
                <w:sz w:val="24"/>
                <w:szCs w:val="24"/>
                <w:lang w:val="zh-CN"/>
              </w:rPr>
              <w:t>管理</w:t>
            </w:r>
          </w:p>
        </w:tc>
        <w:tc>
          <w:tcPr>
            <w:tcW w:w="1895" w:type="dxa"/>
            <w:noWrap w:val="0"/>
            <w:vAlign w:val="center"/>
          </w:tcPr>
          <w:p w14:paraId="4EE42F8C">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学生公寓保持整洁卫生，做到“五不”</w:t>
            </w:r>
            <w:r>
              <w:rPr>
                <w:rFonts w:hint="eastAsia" w:ascii="仿宋" w:hAnsi="仿宋" w:eastAsia="仿宋" w:cs="仿宋"/>
                <w:b w:val="0"/>
                <w:bCs w:val="0"/>
                <w:color w:val="auto"/>
                <w:sz w:val="24"/>
                <w:szCs w:val="24"/>
              </w:rPr>
              <w:t>和“五净”</w:t>
            </w:r>
          </w:p>
        </w:tc>
        <w:tc>
          <w:tcPr>
            <w:tcW w:w="6434" w:type="dxa"/>
            <w:noWrap w:val="0"/>
            <w:vAlign w:val="top"/>
          </w:tcPr>
          <w:p w14:paraId="3AA10FD6">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加强</w:t>
            </w:r>
            <w:r>
              <w:rPr>
                <w:rFonts w:hint="eastAsia" w:ascii="仿宋" w:hAnsi="仿宋" w:eastAsia="仿宋" w:cs="仿宋"/>
                <w:b w:val="0"/>
                <w:bCs w:val="0"/>
                <w:color w:val="auto"/>
                <w:sz w:val="24"/>
                <w:szCs w:val="24"/>
              </w:rPr>
              <w:t>对公寓</w:t>
            </w:r>
            <w:r>
              <w:rPr>
                <w:rFonts w:hint="eastAsia" w:ascii="仿宋" w:hAnsi="仿宋" w:eastAsia="仿宋" w:cs="仿宋"/>
                <w:b w:val="0"/>
                <w:bCs w:val="0"/>
                <w:color w:val="auto"/>
                <w:sz w:val="24"/>
                <w:szCs w:val="24"/>
                <w:lang w:val="zh-CN"/>
              </w:rPr>
              <w:t>保洁员的业务培训，熟练掌握操作技能和专业知识；2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监督公寓保洁人员</w:t>
            </w:r>
            <w:r>
              <w:rPr>
                <w:rFonts w:hint="eastAsia" w:ascii="仿宋" w:hAnsi="仿宋" w:eastAsia="仿宋" w:cs="仿宋"/>
                <w:b w:val="0"/>
                <w:bCs w:val="0"/>
                <w:color w:val="auto"/>
                <w:sz w:val="24"/>
                <w:szCs w:val="24"/>
                <w:lang w:val="zh-CN"/>
              </w:rPr>
              <w:t>严格按照保洁工作程序操作，加强监督检查； 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监督保洁人员</w:t>
            </w:r>
            <w:r>
              <w:rPr>
                <w:rFonts w:hint="eastAsia" w:ascii="仿宋" w:hAnsi="仿宋" w:eastAsia="仿宋" w:cs="仿宋"/>
                <w:b w:val="0"/>
                <w:bCs w:val="0"/>
                <w:color w:val="auto"/>
                <w:sz w:val="24"/>
                <w:szCs w:val="24"/>
                <w:lang w:val="zh-CN"/>
              </w:rPr>
              <w:t>对垃圾实行袋装化，对垃圾进行分类；4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按区域责任到人，加强巡查，监督检查，严格考核制度。</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做到“五不”即不见积水、积土、杂物、不漏收垃圾、不乱倒垃圾；“五净”即路面净、路沿净、人行道净、雨水口净、果皮箱净。</w:t>
            </w:r>
          </w:p>
        </w:tc>
      </w:tr>
      <w:tr w14:paraId="1AA2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continue"/>
            <w:noWrap w:val="0"/>
            <w:vAlign w:val="top"/>
          </w:tcPr>
          <w:p w14:paraId="70B8DD20">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p>
        </w:tc>
        <w:tc>
          <w:tcPr>
            <w:tcW w:w="1895" w:type="dxa"/>
            <w:noWrap w:val="0"/>
            <w:vAlign w:val="center"/>
          </w:tcPr>
          <w:p w14:paraId="54E5C629">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做好</w:t>
            </w:r>
            <w:r>
              <w:rPr>
                <w:rFonts w:hint="eastAsia" w:ascii="仿宋" w:hAnsi="仿宋" w:eastAsia="仿宋" w:cs="仿宋"/>
                <w:b w:val="0"/>
                <w:bCs w:val="0"/>
                <w:color w:val="auto"/>
                <w:sz w:val="24"/>
                <w:szCs w:val="24"/>
                <w:lang w:val="zh-CN"/>
              </w:rPr>
              <w:t>灭鼠、蚊虫等消杀与处理</w:t>
            </w:r>
          </w:p>
        </w:tc>
        <w:tc>
          <w:tcPr>
            <w:tcW w:w="6434" w:type="dxa"/>
            <w:noWrap w:val="0"/>
            <w:vAlign w:val="top"/>
          </w:tcPr>
          <w:p w14:paraId="23EA7E13">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做好灭蝇、灭蚊虫、灭鼠等消杀防疫工作，确保消杀物品安全使用，消杀防疫记录完整。</w:t>
            </w:r>
          </w:p>
        </w:tc>
      </w:tr>
      <w:tr w14:paraId="35DF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noWrap w:val="0"/>
            <w:vAlign w:val="center"/>
          </w:tcPr>
          <w:p w14:paraId="39048E27">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公寓设施设备等资产</w:t>
            </w:r>
            <w:r>
              <w:rPr>
                <w:rFonts w:hint="eastAsia" w:ascii="仿宋" w:hAnsi="仿宋" w:eastAsia="仿宋" w:cs="仿宋"/>
                <w:b w:val="0"/>
                <w:bCs w:val="0"/>
                <w:color w:val="auto"/>
                <w:sz w:val="24"/>
                <w:szCs w:val="24"/>
                <w:lang w:val="zh-CN"/>
              </w:rPr>
              <w:t>管理</w:t>
            </w:r>
          </w:p>
        </w:tc>
        <w:tc>
          <w:tcPr>
            <w:tcW w:w="1895" w:type="dxa"/>
            <w:noWrap w:val="0"/>
            <w:vAlign w:val="center"/>
          </w:tcPr>
          <w:p w14:paraId="0BD17588">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学生公寓设施设备完好率在98%以上</w:t>
            </w:r>
          </w:p>
        </w:tc>
        <w:tc>
          <w:tcPr>
            <w:tcW w:w="6434" w:type="dxa"/>
            <w:noWrap w:val="0"/>
            <w:vAlign w:val="top"/>
          </w:tcPr>
          <w:p w14:paraId="145B3007">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协助学校宿管部门</w:t>
            </w:r>
            <w:r>
              <w:rPr>
                <w:rFonts w:hint="eastAsia" w:ascii="仿宋" w:hAnsi="仿宋" w:eastAsia="仿宋" w:cs="仿宋"/>
                <w:b w:val="0"/>
                <w:bCs w:val="0"/>
                <w:color w:val="auto"/>
                <w:sz w:val="24"/>
                <w:szCs w:val="24"/>
                <w:lang w:val="zh-CN"/>
              </w:rPr>
              <w:t>做好学生公寓交接验收工作，发现问题及时与相关部门沟通解决；2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负责对公寓内各项设施、设备的看管工作，发现问题及时向学校相关部门报告，</w:t>
            </w:r>
            <w:r>
              <w:rPr>
                <w:rFonts w:hint="eastAsia" w:ascii="仿宋" w:hAnsi="仿宋" w:eastAsia="仿宋" w:cs="仿宋"/>
                <w:b w:val="0"/>
                <w:bCs w:val="0"/>
                <w:color w:val="auto"/>
                <w:sz w:val="24"/>
                <w:szCs w:val="24"/>
                <w:lang w:val="zh-CN"/>
              </w:rPr>
              <w:t>制定严格的</w:t>
            </w:r>
            <w:r>
              <w:rPr>
                <w:rFonts w:hint="eastAsia" w:ascii="仿宋" w:hAnsi="仿宋" w:eastAsia="仿宋" w:cs="仿宋"/>
                <w:b w:val="0"/>
                <w:bCs w:val="0"/>
                <w:color w:val="auto"/>
                <w:sz w:val="24"/>
                <w:szCs w:val="24"/>
              </w:rPr>
              <w:t>巡查</w:t>
            </w:r>
            <w:r>
              <w:rPr>
                <w:rFonts w:hint="eastAsia" w:ascii="仿宋" w:hAnsi="仿宋" w:eastAsia="仿宋" w:cs="仿宋"/>
                <w:b w:val="0"/>
                <w:bCs w:val="0"/>
                <w:color w:val="auto"/>
                <w:sz w:val="24"/>
                <w:szCs w:val="24"/>
                <w:lang w:val="zh-CN"/>
              </w:rPr>
              <w:t>制度；3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落实责任人，定期对水、电设施进行巡查，发现问题及时处理，做好详细记录；4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协助公寓维修人员</w:t>
            </w:r>
            <w:r>
              <w:rPr>
                <w:rFonts w:hint="eastAsia" w:ascii="仿宋" w:hAnsi="仿宋" w:eastAsia="仿宋" w:cs="仿宋"/>
                <w:b w:val="0"/>
                <w:bCs w:val="0"/>
                <w:color w:val="auto"/>
                <w:sz w:val="24"/>
                <w:szCs w:val="24"/>
                <w:lang w:val="zh-CN"/>
              </w:rPr>
              <w:t>制定完善的维保计划，</w:t>
            </w:r>
            <w:r>
              <w:rPr>
                <w:rFonts w:hint="eastAsia" w:ascii="仿宋" w:hAnsi="仿宋" w:eastAsia="仿宋" w:cs="仿宋"/>
                <w:b w:val="0"/>
                <w:bCs w:val="0"/>
                <w:color w:val="auto"/>
                <w:sz w:val="24"/>
                <w:szCs w:val="24"/>
              </w:rPr>
              <w:t>尽量</w:t>
            </w:r>
            <w:r>
              <w:rPr>
                <w:rFonts w:hint="eastAsia" w:ascii="仿宋" w:hAnsi="仿宋" w:eastAsia="仿宋" w:cs="仿宋"/>
                <w:b w:val="0"/>
                <w:bCs w:val="0"/>
                <w:color w:val="auto"/>
                <w:sz w:val="24"/>
                <w:szCs w:val="24"/>
                <w:lang w:val="zh-CN"/>
              </w:rPr>
              <w:t>利用节假日实施。</w:t>
            </w:r>
          </w:p>
        </w:tc>
      </w:tr>
      <w:tr w14:paraId="13CE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restart"/>
            <w:noWrap w:val="0"/>
            <w:vAlign w:val="center"/>
          </w:tcPr>
          <w:p w14:paraId="583B402F">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内部管理</w:t>
            </w:r>
          </w:p>
        </w:tc>
        <w:tc>
          <w:tcPr>
            <w:tcW w:w="1895" w:type="dxa"/>
            <w:noWrap w:val="0"/>
            <w:vAlign w:val="center"/>
          </w:tcPr>
          <w:p w14:paraId="5BE740BD">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保证管理人员精神饱满，有良好服务意识和态度</w:t>
            </w:r>
          </w:p>
        </w:tc>
        <w:tc>
          <w:tcPr>
            <w:tcW w:w="6434" w:type="dxa"/>
            <w:noWrap w:val="0"/>
            <w:vAlign w:val="top"/>
          </w:tcPr>
          <w:p w14:paraId="342CD473">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制定严格的工作行为礼仪规范，门卫管理人员</w:t>
            </w:r>
            <w:r>
              <w:rPr>
                <w:rFonts w:hint="eastAsia" w:ascii="仿宋" w:hAnsi="仿宋" w:eastAsia="仿宋" w:cs="仿宋"/>
                <w:b w:val="0"/>
                <w:bCs w:val="0"/>
                <w:color w:val="auto"/>
                <w:sz w:val="24"/>
                <w:szCs w:val="24"/>
              </w:rPr>
              <w:t>和保洁人员</w:t>
            </w:r>
            <w:r>
              <w:rPr>
                <w:rFonts w:hint="eastAsia" w:ascii="仿宋" w:hAnsi="仿宋" w:eastAsia="仿宋" w:cs="仿宋"/>
                <w:b w:val="0"/>
                <w:bCs w:val="0"/>
                <w:color w:val="auto"/>
                <w:sz w:val="24"/>
                <w:szCs w:val="24"/>
                <w:lang w:val="zh-CN"/>
              </w:rPr>
              <w:t>上岗统一着装，佩</w:t>
            </w:r>
            <w:r>
              <w:rPr>
                <w:rFonts w:hint="eastAsia" w:ascii="仿宋" w:hAnsi="仿宋" w:eastAsia="仿宋" w:cs="仿宋"/>
                <w:b w:val="0"/>
                <w:bCs w:val="0"/>
                <w:color w:val="auto"/>
                <w:sz w:val="24"/>
                <w:szCs w:val="24"/>
                <w:lang w:val="en-US" w:eastAsia="zh-CN"/>
              </w:rPr>
              <w:t>戴</w:t>
            </w:r>
            <w:r>
              <w:rPr>
                <w:rFonts w:hint="eastAsia" w:ascii="仿宋" w:hAnsi="仿宋" w:eastAsia="仿宋" w:cs="仿宋"/>
                <w:b w:val="0"/>
                <w:bCs w:val="0"/>
                <w:color w:val="auto"/>
                <w:sz w:val="24"/>
                <w:szCs w:val="24"/>
                <w:lang w:val="zh-CN"/>
              </w:rPr>
              <w:t>工号牌，并不断的加强培训；2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聘请专业人员讲课，增强管理人员的服务水平；3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组织学习劳动模范的事迹，增强服务意识； 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组织服务竞赛，鼓励管理人员争创服务标兵。</w:t>
            </w:r>
          </w:p>
        </w:tc>
      </w:tr>
      <w:tr w14:paraId="015E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continue"/>
            <w:noWrap w:val="0"/>
            <w:vAlign w:val="top"/>
          </w:tcPr>
          <w:p w14:paraId="4A37A65A">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p>
        </w:tc>
        <w:tc>
          <w:tcPr>
            <w:tcW w:w="1895" w:type="dxa"/>
            <w:noWrap w:val="0"/>
            <w:vAlign w:val="center"/>
          </w:tcPr>
          <w:p w14:paraId="392651E2">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完成学校布置的工作，执行学校的规章制度</w:t>
            </w:r>
          </w:p>
        </w:tc>
        <w:tc>
          <w:tcPr>
            <w:tcW w:w="6434" w:type="dxa"/>
            <w:noWrap w:val="0"/>
            <w:vAlign w:val="top"/>
          </w:tcPr>
          <w:p w14:paraId="5AD30C3F">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学校布置的工作，由</w:t>
            </w:r>
            <w:r>
              <w:rPr>
                <w:rFonts w:hint="eastAsia" w:ascii="仿宋" w:hAnsi="仿宋" w:eastAsia="仿宋" w:cs="仿宋"/>
                <w:b w:val="0"/>
                <w:bCs w:val="0"/>
                <w:color w:val="auto"/>
                <w:sz w:val="24"/>
                <w:szCs w:val="24"/>
              </w:rPr>
              <w:t>公寓</w:t>
            </w:r>
            <w:r>
              <w:rPr>
                <w:rFonts w:hint="eastAsia" w:ascii="仿宋" w:hAnsi="仿宋" w:eastAsia="仿宋" w:cs="仿宋"/>
                <w:b w:val="0"/>
                <w:bCs w:val="0"/>
                <w:color w:val="auto"/>
                <w:sz w:val="24"/>
                <w:szCs w:val="24"/>
                <w:lang w:val="en-US" w:eastAsia="zh-CN"/>
              </w:rPr>
              <w:t>主管</w:t>
            </w:r>
            <w:r>
              <w:rPr>
                <w:rFonts w:hint="eastAsia" w:ascii="仿宋" w:hAnsi="仿宋" w:eastAsia="仿宋" w:cs="仿宋"/>
                <w:b w:val="0"/>
                <w:bCs w:val="0"/>
                <w:color w:val="auto"/>
                <w:sz w:val="24"/>
                <w:szCs w:val="24"/>
                <w:lang w:val="zh-CN"/>
              </w:rPr>
              <w:t>亲自指挥负责，保证按时完成；2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公寓</w:t>
            </w:r>
            <w:r>
              <w:rPr>
                <w:rFonts w:hint="eastAsia" w:ascii="仿宋" w:hAnsi="仿宋" w:eastAsia="仿宋" w:cs="仿宋"/>
                <w:b w:val="0"/>
                <w:bCs w:val="0"/>
                <w:color w:val="auto"/>
                <w:sz w:val="24"/>
                <w:szCs w:val="24"/>
                <w:lang w:val="zh-CN"/>
              </w:rPr>
              <w:t>管理的工作以学校的规章制度为依据，工作规程不能和学校制度相抵触；3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加强与学校各处室、各院（系）的沟通与交流，了解工作的不足之处，认真改进。</w:t>
            </w: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加强对公寓管理工作人员、物业服务工作人员等群体的法制教育、宣传，加强工作人员的知法、守法教育并做好记录。</w:t>
            </w:r>
          </w:p>
        </w:tc>
      </w:tr>
      <w:tr w14:paraId="01F2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noWrap w:val="0"/>
            <w:vAlign w:val="center"/>
          </w:tcPr>
          <w:p w14:paraId="299F9458">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突发事件处理</w:t>
            </w:r>
          </w:p>
        </w:tc>
        <w:tc>
          <w:tcPr>
            <w:tcW w:w="1895" w:type="dxa"/>
            <w:noWrap w:val="0"/>
            <w:vAlign w:val="center"/>
          </w:tcPr>
          <w:p w14:paraId="6F337AEF">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US" w:eastAsia="zh-CN"/>
              </w:rPr>
              <w:t>做</w:t>
            </w:r>
            <w:r>
              <w:rPr>
                <w:rFonts w:hint="eastAsia" w:ascii="仿宋" w:hAnsi="仿宋" w:eastAsia="仿宋" w:cs="仿宋"/>
                <w:b w:val="0"/>
                <w:bCs w:val="0"/>
                <w:color w:val="auto"/>
                <w:sz w:val="24"/>
                <w:szCs w:val="24"/>
                <w:lang w:val="zh-CN"/>
              </w:rPr>
              <w:t>好对突发事件的处理工作</w:t>
            </w:r>
          </w:p>
        </w:tc>
        <w:tc>
          <w:tcPr>
            <w:tcW w:w="6434" w:type="dxa"/>
            <w:noWrap w:val="0"/>
            <w:vAlign w:val="top"/>
          </w:tcPr>
          <w:p w14:paraId="2E020E58">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加强平时的管理与培训，遇到突发事件，不慌不忙，冷静处理；2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制定突发事件紧急处理预案，管理人员按照规定的预案程序处理；3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对突发事件要按程序及时汇报学校，并配合学校对事件的调查。</w:t>
            </w:r>
          </w:p>
        </w:tc>
      </w:tr>
      <w:tr w14:paraId="38E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restart"/>
            <w:noWrap w:val="0"/>
            <w:vAlign w:val="center"/>
          </w:tcPr>
          <w:p w14:paraId="6A673CFE">
            <w:pPr>
              <w:pStyle w:val="190"/>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公寓文化建设</w:t>
            </w:r>
          </w:p>
        </w:tc>
        <w:tc>
          <w:tcPr>
            <w:tcW w:w="1895" w:type="dxa"/>
            <w:noWrap w:val="0"/>
            <w:vAlign w:val="center"/>
          </w:tcPr>
          <w:p w14:paraId="31C38E32">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保证学生公寓文化氛围的营造</w:t>
            </w:r>
          </w:p>
        </w:tc>
        <w:tc>
          <w:tcPr>
            <w:tcW w:w="6434" w:type="dxa"/>
            <w:noWrap w:val="0"/>
            <w:vAlign w:val="top"/>
          </w:tcPr>
          <w:p w14:paraId="3E4A4371">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积极主动配合学校宣传部、学工处以及各院系组织开展的学生文化、娱乐活动；2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以宣传栏</w:t>
            </w:r>
            <w:r>
              <w:rPr>
                <w:rFonts w:hint="eastAsia" w:ascii="仿宋" w:hAnsi="仿宋" w:eastAsia="仿宋" w:cs="仿宋"/>
                <w:b w:val="0"/>
                <w:bCs w:val="0"/>
                <w:color w:val="auto"/>
                <w:sz w:val="24"/>
                <w:szCs w:val="24"/>
              </w:rPr>
              <w:t>、公寓楼口多媒体屏幕和微信公众号等媒介</w:t>
            </w:r>
            <w:r>
              <w:rPr>
                <w:rFonts w:hint="eastAsia" w:ascii="仿宋" w:hAnsi="仿宋" w:eastAsia="仿宋" w:cs="仿宋"/>
                <w:b w:val="0"/>
                <w:bCs w:val="0"/>
                <w:color w:val="auto"/>
                <w:sz w:val="24"/>
                <w:szCs w:val="24"/>
                <w:lang w:val="zh-CN"/>
              </w:rPr>
              <w:t>为阵地，结合各类有意义的主题展开专题宣传；</w:t>
            </w: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支持配合学生自行组织的有意义的文体活动。</w:t>
            </w:r>
          </w:p>
        </w:tc>
      </w:tr>
      <w:tr w14:paraId="7B0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vMerge w:val="continue"/>
            <w:noWrap w:val="0"/>
            <w:vAlign w:val="top"/>
          </w:tcPr>
          <w:p w14:paraId="611E8985">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p>
        </w:tc>
        <w:tc>
          <w:tcPr>
            <w:tcW w:w="1895" w:type="dxa"/>
            <w:noWrap w:val="0"/>
            <w:vAlign w:val="center"/>
          </w:tcPr>
          <w:p w14:paraId="5458D5AB">
            <w:pPr>
              <w:pStyle w:val="190"/>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重大节日</w:t>
            </w:r>
            <w:r>
              <w:rPr>
                <w:rFonts w:hint="eastAsia" w:ascii="仿宋" w:hAnsi="仿宋" w:eastAsia="仿宋" w:cs="仿宋"/>
                <w:b w:val="0"/>
                <w:bCs w:val="0"/>
                <w:color w:val="auto"/>
                <w:sz w:val="24"/>
                <w:szCs w:val="24"/>
              </w:rPr>
              <w:t>配合学校相关部门开</w:t>
            </w:r>
            <w:r>
              <w:rPr>
                <w:rFonts w:hint="eastAsia" w:ascii="仿宋" w:hAnsi="仿宋" w:eastAsia="仿宋" w:cs="仿宋"/>
                <w:b w:val="0"/>
                <w:bCs w:val="0"/>
                <w:color w:val="auto"/>
                <w:sz w:val="24"/>
                <w:szCs w:val="24"/>
                <w:lang w:val="zh-CN"/>
              </w:rPr>
              <w:t>展活动，营造节日气氛</w:t>
            </w:r>
          </w:p>
        </w:tc>
        <w:tc>
          <w:tcPr>
            <w:tcW w:w="6434" w:type="dxa"/>
            <w:noWrap w:val="0"/>
            <w:vAlign w:val="top"/>
          </w:tcPr>
          <w:p w14:paraId="1961C0DD">
            <w:pPr>
              <w:pageBreakBefore w:val="0"/>
              <w:kinsoku/>
              <w:wordWrap/>
              <w:overflowPunct/>
              <w:topLinePunct w:val="0"/>
              <w:autoSpaceDE w:val="0"/>
              <w:autoSpaceDN w:val="0"/>
              <w:bidi w:val="0"/>
              <w:adjustRightInd w:val="0"/>
              <w:spacing w:line="360" w:lineRule="auto"/>
              <w:ind w:left="0" w:leftChars="0" w:right="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年初制定全年重大节日活动计划，以便提早组织、安排活动；2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逢重大节日，</w:t>
            </w:r>
            <w:r>
              <w:rPr>
                <w:rFonts w:hint="eastAsia" w:ascii="仿宋" w:hAnsi="仿宋" w:eastAsia="仿宋" w:cs="仿宋"/>
                <w:b w:val="0"/>
                <w:bCs w:val="0"/>
                <w:color w:val="auto"/>
                <w:sz w:val="24"/>
                <w:szCs w:val="24"/>
              </w:rPr>
              <w:t>配合学校工作需要，</w:t>
            </w:r>
            <w:r>
              <w:rPr>
                <w:rFonts w:hint="eastAsia" w:ascii="仿宋" w:hAnsi="仿宋" w:eastAsia="仿宋" w:cs="仿宋"/>
                <w:b w:val="0"/>
                <w:bCs w:val="0"/>
                <w:color w:val="auto"/>
                <w:sz w:val="24"/>
                <w:szCs w:val="24"/>
                <w:lang w:val="zh-CN"/>
              </w:rPr>
              <w:t>安排专人负责学生公寓的装点；3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积极配合学校有关重大节日的工作安排。</w:t>
            </w:r>
          </w:p>
        </w:tc>
      </w:tr>
    </w:tbl>
    <w:p w14:paraId="4D7A4D87">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服务标准及质量要求</w:t>
      </w:r>
    </w:p>
    <w:p w14:paraId="372ADD2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在采购人提出的学生公寓管理服务标准和质量标准的基础上，由供应商提供规范化的学生公寓服务标准、服务质量控制标准和服务评价与改进标准。具体要求如下：</w:t>
      </w:r>
    </w:p>
    <w:p w14:paraId="3F24D7A6">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1.综合管理</w:t>
      </w:r>
    </w:p>
    <w:p w14:paraId="0D4EB44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（1）建立</w:t>
      </w:r>
      <w:r>
        <w:rPr>
          <w:rFonts w:hint="eastAsia" w:ascii="仿宋" w:hAnsi="仿宋" w:eastAsia="仿宋" w:cs="仿宋"/>
          <w:bCs/>
          <w:color w:val="auto"/>
          <w:sz w:val="28"/>
          <w:szCs w:val="28"/>
          <w:lang w:eastAsia="zh-CN"/>
        </w:rPr>
        <w:t>工</w:t>
      </w:r>
      <w:r>
        <w:rPr>
          <w:rFonts w:hint="eastAsia" w:ascii="仿宋" w:hAnsi="仿宋" w:eastAsia="仿宋" w:cs="仿宋"/>
          <w:bCs/>
          <w:color w:val="auto"/>
          <w:sz w:val="28"/>
          <w:szCs w:val="28"/>
        </w:rPr>
        <w:t>作标准，建立工作签到制度和工作质量考核制度，有岗位职责和考核办法，有值班表、管理人员的联系方式，有《学生公寓管理应急预案》。</w:t>
      </w:r>
    </w:p>
    <w:p w14:paraId="399BA31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）建立管理档案，有住宿情况电子档案、工作交接本、失物登记本、维修登记本、大件物品进出登记本、人员进出登记本等档案资料。</w:t>
      </w:r>
    </w:p>
    <w:p w14:paraId="1B1D25A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）有完善的月度工作计划并分区落实到人，有巡查并做好巡查记录。</w:t>
      </w:r>
    </w:p>
    <w:p w14:paraId="7C3DDE1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）工具设施齐全，定期维护，保证工具完整，工具收纳于指定区域并摆放整齐。</w:t>
      </w:r>
    </w:p>
    <w:p w14:paraId="5A12801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）使用文明用语，微笑服务，协调楼内各项事宜，服务整改合格率100%；统一工装，挂牌服务，礼貌待客；向导咨询，有求必应；不得谩骂、殴打学生，不得与师生发生任何冲突，如有纠纷及时向</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管理部门反映</w:t>
      </w:r>
      <w:r>
        <w:rPr>
          <w:rFonts w:hint="eastAsia" w:ascii="仿宋" w:hAnsi="仿宋" w:eastAsia="仿宋" w:cs="仿宋"/>
          <w:bCs/>
          <w:color w:val="auto"/>
          <w:sz w:val="28"/>
          <w:szCs w:val="28"/>
          <w:lang w:eastAsia="zh-CN"/>
        </w:rPr>
        <w:t>。</w:t>
      </w:r>
    </w:p>
    <w:p w14:paraId="3161407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）定期检查安全、卫生及设备完好状况，合格率95%以上，发现问题及时报修，并做好记录，杜绝影响学生正常生活住宿的情况发生。</w:t>
      </w:r>
    </w:p>
    <w:p w14:paraId="49A540B2">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2.</w:t>
      </w:r>
      <w:r>
        <w:rPr>
          <w:rFonts w:hint="eastAsia" w:ascii="仿宋" w:hAnsi="仿宋" w:eastAsia="仿宋" w:cs="仿宋"/>
          <w:b/>
          <w:bCs w:val="0"/>
          <w:color w:val="auto"/>
          <w:sz w:val="28"/>
          <w:szCs w:val="28"/>
          <w:lang w:eastAsia="zh-CN"/>
        </w:rPr>
        <w:t>门岗</w:t>
      </w:r>
      <w:r>
        <w:rPr>
          <w:rFonts w:hint="eastAsia" w:ascii="仿宋" w:hAnsi="仿宋" w:eastAsia="仿宋" w:cs="仿宋"/>
          <w:b/>
          <w:bCs w:val="0"/>
          <w:color w:val="auto"/>
          <w:sz w:val="28"/>
          <w:szCs w:val="28"/>
        </w:rPr>
        <w:t>值班和安全管理</w:t>
      </w:r>
    </w:p>
    <w:p w14:paraId="5DE87F3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（1）按照学校的作息时间和相关部门要求开关门和灯</w:t>
      </w:r>
      <w:r>
        <w:rPr>
          <w:rFonts w:hint="eastAsia" w:ascii="仿宋" w:hAnsi="仿宋" w:eastAsia="仿宋" w:cs="仿宋"/>
          <w:bCs/>
          <w:color w:val="auto"/>
          <w:sz w:val="28"/>
          <w:szCs w:val="28"/>
          <w:lang w:eastAsia="zh-CN"/>
        </w:rPr>
        <w:t>。</w:t>
      </w:r>
    </w:p>
    <w:p w14:paraId="114E0C8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（2）不得脱岗缺岗</w:t>
      </w:r>
      <w:r>
        <w:rPr>
          <w:rFonts w:hint="eastAsia" w:ascii="仿宋" w:hAnsi="仿宋" w:eastAsia="仿宋" w:cs="仿宋"/>
          <w:bCs/>
          <w:color w:val="auto"/>
          <w:sz w:val="28"/>
          <w:szCs w:val="28"/>
          <w:lang w:eastAsia="zh-CN"/>
        </w:rPr>
        <w:t>。</w:t>
      </w:r>
    </w:p>
    <w:p w14:paraId="434BFD6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（3）管理员实行24小时值守制，值班期间不允许做与工作无关的事情，值班室内不得烹饪、煮饭等，做好岗位值班记录，记录要完整、详尽，相关记录有</w:t>
      </w:r>
      <w:r>
        <w:rPr>
          <w:rFonts w:hint="eastAsia" w:ascii="仿宋" w:hAnsi="仿宋" w:eastAsia="仿宋" w:cs="仿宋"/>
          <w:bCs/>
          <w:color w:val="auto"/>
          <w:sz w:val="28"/>
          <w:szCs w:val="28"/>
          <w:lang w:eastAsia="zh-CN"/>
        </w:rPr>
        <w:t>学生公寓主管</w:t>
      </w:r>
      <w:r>
        <w:rPr>
          <w:rFonts w:hint="eastAsia" w:ascii="仿宋" w:hAnsi="仿宋" w:eastAsia="仿宋" w:cs="仿宋"/>
          <w:bCs/>
          <w:color w:val="auto"/>
          <w:sz w:val="28"/>
          <w:szCs w:val="28"/>
        </w:rPr>
        <w:t>签阅意见</w:t>
      </w:r>
      <w:r>
        <w:rPr>
          <w:rFonts w:hint="eastAsia" w:ascii="仿宋" w:hAnsi="仿宋" w:eastAsia="仿宋" w:cs="仿宋"/>
          <w:bCs/>
          <w:color w:val="auto"/>
          <w:sz w:val="28"/>
          <w:szCs w:val="28"/>
          <w:lang w:eastAsia="zh-CN"/>
        </w:rPr>
        <w:t>。</w:t>
      </w:r>
    </w:p>
    <w:p w14:paraId="5188E15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（4）熟悉本楼宇一切情况，包括：房间、卫生间数量，公共区域面积，消防器材数量及状况，具备处理应急突发事件的能力</w:t>
      </w:r>
      <w:r>
        <w:rPr>
          <w:rFonts w:hint="eastAsia" w:ascii="仿宋" w:hAnsi="仿宋" w:eastAsia="仿宋" w:cs="仿宋"/>
          <w:bCs/>
          <w:color w:val="auto"/>
          <w:sz w:val="28"/>
          <w:szCs w:val="28"/>
          <w:lang w:eastAsia="zh-CN"/>
        </w:rPr>
        <w:t>。</w:t>
      </w:r>
    </w:p>
    <w:p w14:paraId="58179C9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（5）每日检查设施设备，出现故障2小时内报修，并做好记录，杜绝影响正常公寓内设备运行的情况发生</w:t>
      </w:r>
      <w:r>
        <w:rPr>
          <w:rFonts w:hint="eastAsia" w:ascii="仿宋" w:hAnsi="仿宋" w:eastAsia="仿宋" w:cs="仿宋"/>
          <w:bCs/>
          <w:color w:val="auto"/>
          <w:sz w:val="28"/>
          <w:szCs w:val="28"/>
          <w:lang w:eastAsia="zh-CN"/>
        </w:rPr>
        <w:t>。</w:t>
      </w:r>
    </w:p>
    <w:p w14:paraId="6845A05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（6）做好人员来访、设备及物品出入登记等记录，有专用记录本，严格控制闲杂人员进入</w:t>
      </w:r>
      <w:r>
        <w:rPr>
          <w:rFonts w:hint="eastAsia" w:ascii="仿宋" w:hAnsi="仿宋" w:eastAsia="仿宋" w:cs="仿宋"/>
          <w:bCs/>
          <w:color w:val="auto"/>
          <w:sz w:val="28"/>
          <w:szCs w:val="28"/>
          <w:lang w:eastAsia="zh-CN"/>
        </w:rPr>
        <w:t>。</w:t>
      </w:r>
    </w:p>
    <w:p w14:paraId="6C62ADD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（7）指挥、引导学生公寓楼前自行车整齐有序停放，并保持消防过道的通畅；如存在消防安全隐患和可疑情况要及时上报，消除隐患。</w:t>
      </w:r>
    </w:p>
    <w:p w14:paraId="5723AB8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（8）开展学生公寓内的防火、防骗、防盗等安全宣传和警示教育，配合学校相关部门开展其他学生教育管理工作</w:t>
      </w:r>
      <w:r>
        <w:rPr>
          <w:rFonts w:hint="eastAsia" w:ascii="仿宋" w:hAnsi="仿宋" w:eastAsia="仿宋" w:cs="仿宋"/>
          <w:bCs/>
          <w:color w:val="auto"/>
          <w:sz w:val="28"/>
          <w:szCs w:val="28"/>
          <w:lang w:eastAsia="zh-CN"/>
        </w:rPr>
        <w:t>。</w:t>
      </w:r>
    </w:p>
    <w:p w14:paraId="53A1BB5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（9）根据学校有关学生住宿管理规定，配合学院做好本楼内学生住宿秩序、纪律管理，有晚归学生登记本。</w:t>
      </w:r>
    </w:p>
    <w:p w14:paraId="5D91547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（10）女生学生公寓</w:t>
      </w:r>
      <w:r>
        <w:rPr>
          <w:rFonts w:hint="eastAsia" w:ascii="仿宋" w:hAnsi="仿宋" w:eastAsia="仿宋" w:cs="仿宋"/>
          <w:b w:val="0"/>
          <w:bCs/>
          <w:color w:val="auto"/>
          <w:sz w:val="28"/>
          <w:szCs w:val="28"/>
          <w:lang w:val="en-US" w:eastAsia="zh-CN"/>
        </w:rPr>
        <w:t>需安</w:t>
      </w:r>
      <w:r>
        <w:rPr>
          <w:rFonts w:hint="eastAsia" w:ascii="仿宋" w:hAnsi="仿宋" w:eastAsia="仿宋" w:cs="仿宋"/>
          <w:b w:val="0"/>
          <w:bCs/>
          <w:color w:val="auto"/>
          <w:sz w:val="28"/>
          <w:szCs w:val="28"/>
        </w:rPr>
        <w:t>排女性值班。</w:t>
      </w:r>
    </w:p>
    <w:p w14:paraId="0403A7D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Cs/>
          <w:color w:val="auto"/>
          <w:sz w:val="28"/>
          <w:szCs w:val="28"/>
        </w:rPr>
        <w:t>（11）公寓管理员能熟练使用楼内各项设备，如消防监控报警、限电控制</w:t>
      </w:r>
      <w:r>
        <w:rPr>
          <w:rFonts w:hint="eastAsia" w:ascii="仿宋" w:hAnsi="仿宋" w:eastAsia="仿宋" w:cs="仿宋"/>
          <w:b w:val="0"/>
          <w:bCs/>
          <w:color w:val="auto"/>
          <w:sz w:val="28"/>
          <w:szCs w:val="28"/>
        </w:rPr>
        <w:t>、监控设备等。</w:t>
      </w:r>
    </w:p>
    <w:p w14:paraId="6D6340E9">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3.消防管理</w:t>
      </w:r>
    </w:p>
    <w:p w14:paraId="50ADBF9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（1）建立学生公寓紧急情况处理预案和消防安全应急预案</w:t>
      </w:r>
      <w:r>
        <w:rPr>
          <w:rFonts w:hint="eastAsia" w:ascii="仿宋" w:hAnsi="仿宋" w:eastAsia="仿宋" w:cs="仿宋"/>
          <w:bCs/>
          <w:color w:val="auto"/>
          <w:sz w:val="28"/>
          <w:szCs w:val="28"/>
          <w:lang w:eastAsia="zh-CN"/>
        </w:rPr>
        <w:t>。</w:t>
      </w:r>
    </w:p>
    <w:p w14:paraId="5CFFBCE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（2）做好防火巡查检查、安全疏散设施管理、火灾隐患整改、用火用电安全管理等工作，有分类专项记录本</w:t>
      </w:r>
      <w:r>
        <w:rPr>
          <w:rFonts w:hint="eastAsia" w:ascii="仿宋" w:hAnsi="仿宋" w:eastAsia="仿宋" w:cs="仿宋"/>
          <w:bCs/>
          <w:color w:val="auto"/>
          <w:sz w:val="28"/>
          <w:szCs w:val="28"/>
          <w:lang w:eastAsia="zh-CN"/>
        </w:rPr>
        <w:t>。</w:t>
      </w:r>
    </w:p>
    <w:p w14:paraId="3D736F4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（3）能熟练使用楼内消防设施，每天对大楼消防安全及消防设施巡查1次并做好巡查记录和消防设施定期检查记录，</w:t>
      </w:r>
      <w:r>
        <w:rPr>
          <w:rFonts w:hint="eastAsia" w:ascii="仿宋" w:hAnsi="仿宋" w:eastAsia="仿宋" w:cs="仿宋"/>
          <w:color w:val="auto"/>
          <w:sz w:val="28"/>
          <w:szCs w:val="28"/>
        </w:rPr>
        <w:t>发现问题及时上报校保卫处。</w:t>
      </w:r>
    </w:p>
    <w:p w14:paraId="5CE6D0C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（4）在</w:t>
      </w:r>
      <w:r>
        <w:rPr>
          <w:rFonts w:hint="eastAsia" w:ascii="仿宋" w:hAnsi="仿宋" w:eastAsia="仿宋" w:cs="仿宋"/>
          <w:bCs/>
          <w:color w:val="auto"/>
          <w:sz w:val="28"/>
          <w:szCs w:val="28"/>
          <w:lang w:val="en-US" w:eastAsia="zh-CN"/>
        </w:rPr>
        <w:t>保障服务部</w:t>
      </w:r>
      <w:r>
        <w:rPr>
          <w:rFonts w:hint="eastAsia" w:ascii="仿宋" w:hAnsi="仿宋" w:eastAsia="仿宋" w:cs="仿宋"/>
          <w:bCs/>
          <w:color w:val="auto"/>
          <w:sz w:val="28"/>
          <w:szCs w:val="28"/>
        </w:rPr>
        <w:t>的指导下，积极组织员工开展消防演练，强化员工消防安全意识，每学期组织员工开展消防演练不少于1次。</w:t>
      </w:r>
    </w:p>
    <w:p w14:paraId="029620B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（5）配合学校做好消防安全检查，对违规使用大功率电器等安全隐患情况主动巡查发现，及时上报</w:t>
      </w:r>
      <w:r>
        <w:rPr>
          <w:rFonts w:hint="eastAsia" w:ascii="仿宋" w:hAnsi="仿宋" w:eastAsia="仿宋" w:cs="仿宋"/>
          <w:bCs/>
          <w:color w:val="auto"/>
          <w:sz w:val="28"/>
          <w:szCs w:val="28"/>
          <w:lang w:eastAsia="zh-CN"/>
        </w:rPr>
        <w:t>。</w:t>
      </w:r>
    </w:p>
    <w:p w14:paraId="2034A537">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4.水电管理</w:t>
      </w:r>
    </w:p>
    <w:p w14:paraId="7AA34D1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（1）加强用水用电设施设备巡查，节水节电，避免出现长流水、长明电等浪费现象，保证公寓水电设备运转正常</w:t>
      </w:r>
      <w:r>
        <w:rPr>
          <w:rFonts w:hint="eastAsia" w:ascii="仿宋" w:hAnsi="仿宋" w:eastAsia="仿宋" w:cs="仿宋"/>
          <w:bCs/>
          <w:color w:val="auto"/>
          <w:sz w:val="28"/>
          <w:szCs w:val="28"/>
          <w:lang w:eastAsia="zh-CN"/>
        </w:rPr>
        <w:t>。</w:t>
      </w:r>
    </w:p>
    <w:p w14:paraId="15710BC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（2）协助做好中途入住、调宿、退宿学生水电费的结算工作，不发生遗漏现象。</w:t>
      </w:r>
    </w:p>
    <w:p w14:paraId="37D12AC8">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5.维修维护管理</w:t>
      </w:r>
    </w:p>
    <w:p w14:paraId="27758C2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（1）学生公寓各项设施设备维修上报，熟练使用在线报修系统</w:t>
      </w:r>
      <w:r>
        <w:rPr>
          <w:rFonts w:hint="eastAsia" w:ascii="仿宋" w:hAnsi="仿宋" w:eastAsia="仿宋" w:cs="仿宋"/>
          <w:b w:val="0"/>
          <w:bCs/>
          <w:color w:val="auto"/>
          <w:sz w:val="28"/>
          <w:szCs w:val="28"/>
          <w:lang w:eastAsia="zh-CN"/>
        </w:rPr>
        <w:t>。</w:t>
      </w:r>
    </w:p>
    <w:p w14:paraId="419B38F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（2）跟踪维修完成情况，逾时未完成维修的要及时催促。</w:t>
      </w:r>
    </w:p>
    <w:p w14:paraId="084AC74A">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6</w:t>
      </w:r>
      <w:r>
        <w:rPr>
          <w:rFonts w:hint="eastAsia" w:ascii="仿宋" w:hAnsi="仿宋" w:eastAsia="仿宋" w:cs="仿宋"/>
          <w:b/>
          <w:bCs w:val="0"/>
          <w:color w:val="auto"/>
          <w:sz w:val="28"/>
          <w:szCs w:val="28"/>
        </w:rPr>
        <w:t>.入住调宿退宿管理</w:t>
      </w:r>
    </w:p>
    <w:p w14:paraId="5A366A9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配合学校相关职能部门做好学生公寓的调配工作。</w:t>
      </w:r>
    </w:p>
    <w:p w14:paraId="4935D1A5">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7</w:t>
      </w:r>
      <w:r>
        <w:rPr>
          <w:rFonts w:hint="eastAsia" w:ascii="仿宋" w:hAnsi="仿宋" w:eastAsia="仿宋" w:cs="仿宋"/>
          <w:b/>
          <w:bCs w:val="0"/>
          <w:color w:val="auto"/>
          <w:sz w:val="28"/>
          <w:szCs w:val="28"/>
        </w:rPr>
        <w:t>.生活设备管理</w:t>
      </w:r>
    </w:p>
    <w:p w14:paraId="4F4E108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（1）对生活设备主动发现问题登记上报，有报修和维修记录。</w:t>
      </w:r>
    </w:p>
    <w:p w14:paraId="67C2AB75">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8.施工队进楼管理</w:t>
      </w:r>
    </w:p>
    <w:p w14:paraId="6E6127D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（1）对进楼外来人员严格管理，凭证出入；验证施工报批和水电使用报批手续；</w:t>
      </w:r>
    </w:p>
    <w:p w14:paraId="41FCAB1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（2）有施工队进楼维修监管记录本。</w:t>
      </w:r>
    </w:p>
    <w:p w14:paraId="7F1AB6F6">
      <w:pPr>
        <w:pageBreakBefore w:val="0"/>
        <w:tabs>
          <w:tab w:val="left" w:pos="424"/>
        </w:tabs>
        <w:kinsoku/>
        <w:wordWrap/>
        <w:overflowPunct/>
        <w:topLinePunct w:val="0"/>
        <w:bidi w:val="0"/>
        <w:spacing w:line="360" w:lineRule="auto"/>
        <w:ind w:left="0" w:leftChars="0" w:right="0" w:firstLine="562" w:firstLineChars="200"/>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9.多功能房间管理</w:t>
      </w:r>
    </w:p>
    <w:p w14:paraId="714379F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（1）按照采购人要求在规定时间对多功能房间进行开门、关门及秩序维护。</w:t>
      </w:r>
    </w:p>
    <w:p w14:paraId="07D4F78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（2）每天巡视检查多功能房间各项设施是否完好无损，环境卫生是否合格，在专项记录本上详细</w:t>
      </w:r>
      <w:r>
        <w:rPr>
          <w:rFonts w:hint="eastAsia" w:ascii="仿宋" w:hAnsi="仿宋" w:eastAsia="仿宋" w:cs="仿宋"/>
          <w:bCs/>
          <w:color w:val="auto"/>
          <w:sz w:val="28"/>
          <w:szCs w:val="28"/>
        </w:rPr>
        <w:t>记录并签字确认。</w:t>
      </w:r>
    </w:p>
    <w:p w14:paraId="2E69E7B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（3）有多功能房间巡查专项记录本。</w:t>
      </w:r>
    </w:p>
    <w:p w14:paraId="64BA853E">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其它服务要求</w:t>
      </w:r>
    </w:p>
    <w:p w14:paraId="7771D70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1.建立学生公寓工作人员教育、培训、管理制度。</w:t>
      </w:r>
    </w:p>
    <w:p w14:paraId="62703C6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2.如果出现醉酒、吵架、斗殴、火灾、踩踏、人员伤亡或学生情绪异常、发病等突发事件，及时采取有效措施，同时速报学校主管部门。</w:t>
      </w:r>
    </w:p>
    <w:p w14:paraId="4AD2860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3.协助采购人管理部门对宿舍内务进行管理，包括查禁大功率电器、私拉电线等。</w:t>
      </w:r>
    </w:p>
    <w:p w14:paraId="44AD6D7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.在采购人管理部门的指导下，协助办理毕业生离校的各项具体手续，收缴核对房间的钥匙、物资设备验收等。</w:t>
      </w:r>
    </w:p>
    <w:p w14:paraId="4E2C61B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.协助采购人管理部门补充或重新配置宿舍的财产物资，安排宿舍并配制、发放宿舍钥匙和清洁用具等，费用由采购人负责。</w:t>
      </w:r>
    </w:p>
    <w:p w14:paraId="19377E0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.负责对宿舍固定资产及各房间钥匙进行日常的管理。</w:t>
      </w:r>
    </w:p>
    <w:p w14:paraId="6B91158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rPr>
        <w:t>做好非本栋楼人员及外来人员进入宿舍登记工作，并督促其在规定时间内离开，异性人员不得过夜。</w:t>
      </w:r>
    </w:p>
    <w:p w14:paraId="330D60E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.配合学校主管部门的水电</w:t>
      </w:r>
      <w:r>
        <w:rPr>
          <w:rFonts w:hint="eastAsia" w:ascii="仿宋" w:hAnsi="仿宋" w:eastAsia="仿宋" w:cs="仿宋"/>
          <w:bCs/>
          <w:color w:val="auto"/>
          <w:sz w:val="28"/>
          <w:szCs w:val="28"/>
          <w:lang w:val="en-US" w:eastAsia="zh-CN"/>
        </w:rPr>
        <w:t>暖</w:t>
      </w:r>
      <w:r>
        <w:rPr>
          <w:rFonts w:hint="eastAsia" w:ascii="仿宋" w:hAnsi="仿宋" w:eastAsia="仿宋" w:cs="仿宋"/>
          <w:bCs/>
          <w:color w:val="auto"/>
          <w:sz w:val="28"/>
          <w:szCs w:val="28"/>
        </w:rPr>
        <w:t>管理，在公寓楼公共区域内发现有损坏的设备、长明灯、长流水等情况或问题，及时妥善处理。</w:t>
      </w:r>
    </w:p>
    <w:p w14:paraId="035608D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.负责根据学校主管部门规定定时开关宿舍大门、天台门，开关走廊、过道等区域的照明灯。</w:t>
      </w:r>
    </w:p>
    <w:p w14:paraId="1C801AF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10.</w:t>
      </w:r>
      <w:r>
        <w:rPr>
          <w:rFonts w:hint="eastAsia" w:ascii="仿宋" w:hAnsi="仿宋" w:eastAsia="仿宋" w:cs="仿宋"/>
          <w:bCs/>
          <w:color w:val="auto"/>
          <w:sz w:val="28"/>
          <w:szCs w:val="28"/>
        </w:rPr>
        <w:t>供应商在对学生公寓进行管理期间，人员着装要统一，上班佩戴工牌，值班人员电话上墙，实行“热情、礼貌、周到”的服务，在任何情况下不得跟学生发生冲突。</w:t>
      </w:r>
    </w:p>
    <w:p w14:paraId="1D6A3BC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11</w:t>
      </w:r>
      <w:r>
        <w:rPr>
          <w:rFonts w:hint="eastAsia" w:ascii="仿宋" w:hAnsi="仿宋" w:eastAsia="仿宋" w:cs="仿宋"/>
          <w:bCs/>
          <w:color w:val="auto"/>
          <w:sz w:val="28"/>
          <w:szCs w:val="28"/>
        </w:rPr>
        <w:t>.熟悉楼内消防器材的存放地点，并掌握消防器材的使用方法。 协助学校保卫部门做好消防器材的日常检查工作。</w:t>
      </w:r>
    </w:p>
    <w:p w14:paraId="3441EEB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12</w:t>
      </w:r>
      <w:r>
        <w:rPr>
          <w:rFonts w:hint="eastAsia" w:ascii="仿宋" w:hAnsi="仿宋" w:eastAsia="仿宋" w:cs="仿宋"/>
          <w:bCs/>
          <w:color w:val="auto"/>
          <w:sz w:val="28"/>
          <w:szCs w:val="28"/>
        </w:rPr>
        <w:t>.督促保洁员做好宿舍公共区域卫生工作，严禁供应商员工私自占用公共区域存放个人物品以及杂物废品等，发现问题及时向学校主管部门报告。</w:t>
      </w:r>
    </w:p>
    <w:p w14:paraId="61E7346F">
      <w:pPr>
        <w:keepNext w:val="0"/>
        <w:keepLines w:val="0"/>
        <w:pageBreakBefore w:val="0"/>
        <w:widowControl/>
        <w:tabs>
          <w:tab w:val="left" w:pos="868"/>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13</w:t>
      </w:r>
      <w:r>
        <w:rPr>
          <w:rFonts w:hint="eastAsia" w:ascii="仿宋" w:hAnsi="仿宋" w:eastAsia="仿宋" w:cs="仿宋"/>
          <w:b w:val="0"/>
          <w:bCs/>
          <w:color w:val="auto"/>
          <w:sz w:val="28"/>
          <w:szCs w:val="28"/>
        </w:rPr>
        <w:t>.供应商对学生宿舍只有管理权，没有使用权。宿舍的住宿安排</w:t>
      </w:r>
      <w:r>
        <w:rPr>
          <w:rFonts w:hint="eastAsia" w:ascii="仿宋" w:hAnsi="仿宋" w:eastAsia="仿宋" w:cs="仿宋"/>
          <w:b w:val="0"/>
          <w:bCs/>
          <w:color w:val="auto"/>
          <w:sz w:val="28"/>
          <w:szCs w:val="28"/>
          <w:lang w:val="en-US" w:eastAsia="zh-CN"/>
        </w:rPr>
        <w:t>需经</w:t>
      </w:r>
      <w:r>
        <w:rPr>
          <w:rFonts w:hint="eastAsia" w:ascii="仿宋" w:hAnsi="仿宋" w:eastAsia="仿宋" w:cs="仿宋"/>
          <w:b w:val="0"/>
          <w:bCs/>
          <w:color w:val="auto"/>
          <w:sz w:val="28"/>
          <w:szCs w:val="28"/>
        </w:rPr>
        <w:t>学校管理部门同意，供应商不得私自安排其他人住宿，也不得私自占用宿舍，否则按供应商严重违约处理。</w:t>
      </w:r>
    </w:p>
    <w:p w14:paraId="72855991">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14</w:t>
      </w:r>
      <w:r>
        <w:rPr>
          <w:rFonts w:hint="eastAsia" w:ascii="仿宋" w:hAnsi="仿宋" w:eastAsia="仿宋" w:cs="仿宋"/>
          <w:b w:val="0"/>
          <w:bCs/>
          <w:color w:val="auto"/>
          <w:sz w:val="28"/>
          <w:szCs w:val="28"/>
        </w:rPr>
        <w:t>.晚班值班人员在规定时间关闭宿舍大门后在值班室值班，给晚归学</w:t>
      </w:r>
      <w:r>
        <w:rPr>
          <w:rFonts w:hint="eastAsia" w:ascii="仿宋" w:hAnsi="仿宋" w:eastAsia="仿宋" w:cs="仿宋"/>
          <w:bCs/>
          <w:color w:val="auto"/>
          <w:sz w:val="28"/>
          <w:szCs w:val="28"/>
        </w:rPr>
        <w:t>生开门并进行登记，遇突发事件或紧急情况立即向主管领导报告并尽可能控制事态。</w:t>
      </w:r>
    </w:p>
    <w:p w14:paraId="58FEB7F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.发现问题及时向学校主管部门反映。</w:t>
      </w:r>
    </w:p>
    <w:p w14:paraId="4AA5015B">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档案资料管理要求</w:t>
      </w:r>
    </w:p>
    <w:p w14:paraId="2C8EF12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1.供应商要建立学生公寓管理资料的收集、分类整理、归档管理制度。</w:t>
      </w:r>
    </w:p>
    <w:p w14:paraId="2A202BC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2.在日常管理中要建立</w:t>
      </w:r>
      <w:r>
        <w:rPr>
          <w:rFonts w:hint="eastAsia" w:ascii="仿宋" w:hAnsi="仿宋" w:eastAsia="仿宋" w:cs="仿宋"/>
          <w:bCs/>
          <w:color w:val="auto"/>
          <w:sz w:val="28"/>
          <w:szCs w:val="28"/>
          <w:lang w:eastAsia="zh-CN"/>
        </w:rPr>
        <w:t>门岗</w:t>
      </w:r>
      <w:r>
        <w:rPr>
          <w:rFonts w:hint="eastAsia" w:ascii="仿宋" w:hAnsi="仿宋" w:eastAsia="仿宋" w:cs="仿宋"/>
          <w:bCs/>
          <w:color w:val="auto"/>
          <w:sz w:val="28"/>
          <w:szCs w:val="28"/>
        </w:rPr>
        <w:t>外来人员及大件物品出入登记制度、公寓设备设施巡查制度以及宿管人员业务培训考核等登记制度。</w:t>
      </w:r>
    </w:p>
    <w:p w14:paraId="6B085E6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3.管理委托合同规定的其它事项。</w:t>
      </w:r>
    </w:p>
    <w:p w14:paraId="5C1E115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4.以上资料每月装订提交给委托人归档。</w:t>
      </w:r>
    </w:p>
    <w:p w14:paraId="35729DF5">
      <w:pPr>
        <w:pageBreakBefore w:val="0"/>
        <w:kinsoku/>
        <w:wordWrap/>
        <w:overflowPunct/>
        <w:topLinePunct w:val="0"/>
        <w:bidi w:val="0"/>
        <w:spacing w:line="360" w:lineRule="auto"/>
        <w:ind w:left="0" w:leftChars="0" w:right="0"/>
        <w:rPr>
          <w:rFonts w:hint="eastAsia" w:ascii="仿宋" w:hAnsi="仿宋" w:eastAsia="仿宋" w:cs="仿宋"/>
          <w:b/>
          <w:bCs/>
          <w:color w:val="auto"/>
          <w:sz w:val="28"/>
          <w:szCs w:val="28"/>
          <w:lang w:val="en-US" w:eastAsia="zh-CN"/>
        </w:rPr>
      </w:pPr>
    </w:p>
    <w:p w14:paraId="14EB3D7F">
      <w:pPr>
        <w:pStyle w:val="7"/>
        <w:pageBreakBefore w:val="0"/>
        <w:tabs>
          <w:tab w:val="left" w:pos="0"/>
        </w:tabs>
        <w:kinsoku/>
        <w:wordWrap/>
        <w:overflowPunct/>
        <w:topLinePunct w:val="0"/>
        <w:bidi w:val="0"/>
        <w:spacing w:before="0" w:after="0" w:line="360" w:lineRule="auto"/>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val="zh-CN"/>
        </w:rPr>
        <w:t>第</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val="zh-CN"/>
        </w:rPr>
        <w:t xml:space="preserve">节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绿化</w:t>
      </w:r>
      <w:r>
        <w:rPr>
          <w:rFonts w:hint="eastAsia" w:ascii="仿宋" w:hAnsi="仿宋" w:eastAsia="仿宋" w:cs="仿宋"/>
          <w:color w:val="auto"/>
          <w:sz w:val="28"/>
          <w:szCs w:val="28"/>
          <w:lang w:val="en-US" w:eastAsia="zh-CN"/>
        </w:rPr>
        <w:t>养护</w:t>
      </w:r>
      <w:r>
        <w:rPr>
          <w:rFonts w:hint="eastAsia" w:ascii="仿宋" w:hAnsi="仿宋" w:eastAsia="仿宋" w:cs="仿宋"/>
          <w:color w:val="auto"/>
          <w:sz w:val="28"/>
          <w:szCs w:val="28"/>
          <w:lang w:val="zh-CN"/>
        </w:rPr>
        <w:t>服务物业管理项目要求</w:t>
      </w:r>
    </w:p>
    <w:p w14:paraId="576F3BCF">
      <w:pPr>
        <w:pageBreakBefore w:val="0"/>
        <w:tabs>
          <w:tab w:val="left" w:pos="540"/>
          <w:tab w:val="left" w:pos="720"/>
          <w:tab w:val="left" w:pos="1080"/>
        </w:tabs>
        <w:kinsoku/>
        <w:wordWrap/>
        <w:overflowPunct/>
        <w:topLinePunct w:val="0"/>
        <w:bidi w:val="0"/>
        <w:spacing w:line="360" w:lineRule="auto"/>
        <w:ind w:left="0" w:leftChars="0" w:right="0"/>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rPr>
        <w:t>总体要求：提供专业、规范的绿化养护服务，创建舒适靓丽的校园环境，积极创建生态园林式校园</w:t>
      </w:r>
      <w:r>
        <w:rPr>
          <w:rFonts w:hint="eastAsia" w:ascii="仿宋" w:hAnsi="仿宋" w:eastAsia="仿宋" w:cs="仿宋"/>
          <w:b w:val="0"/>
          <w:bCs w:val="0"/>
          <w:color w:val="auto"/>
          <w:sz w:val="28"/>
          <w:szCs w:val="28"/>
          <w:lang w:eastAsia="zh-CN"/>
        </w:rPr>
        <w:t>，结合我校实际，最低用工人数不少于</w:t>
      </w:r>
      <w:r>
        <w:rPr>
          <w:rFonts w:hint="eastAsia" w:ascii="仿宋" w:hAnsi="仿宋" w:eastAsia="仿宋" w:cs="仿宋"/>
          <w:b w:val="0"/>
          <w:bCs w:val="0"/>
          <w:color w:val="auto"/>
          <w:sz w:val="28"/>
          <w:szCs w:val="28"/>
          <w:lang w:val="en-US" w:eastAsia="zh-CN"/>
        </w:rPr>
        <w:t>30</w:t>
      </w:r>
      <w:r>
        <w:rPr>
          <w:rFonts w:hint="eastAsia" w:ascii="仿宋" w:hAnsi="仿宋" w:eastAsia="仿宋" w:cs="仿宋"/>
          <w:b w:val="0"/>
          <w:bCs w:val="0"/>
          <w:color w:val="auto"/>
          <w:sz w:val="28"/>
          <w:szCs w:val="28"/>
          <w:lang w:eastAsia="zh-CN"/>
        </w:rPr>
        <w:t>人。</w:t>
      </w:r>
      <w:r>
        <w:rPr>
          <w:rFonts w:hint="eastAsia" w:ascii="仿宋" w:hAnsi="仿宋" w:eastAsia="仿宋" w:cs="仿宋"/>
          <w:b w:val="0"/>
          <w:bCs w:val="0"/>
          <w:color w:val="auto"/>
          <w:sz w:val="28"/>
          <w:szCs w:val="28"/>
          <w:lang w:val="en-US" w:eastAsia="zh-CN"/>
        </w:rPr>
        <w:t>由专业人员</w:t>
      </w:r>
      <w:r>
        <w:rPr>
          <w:rFonts w:hint="eastAsia" w:ascii="仿宋" w:hAnsi="仿宋" w:eastAsia="仿宋" w:cs="仿宋"/>
          <w:color w:val="auto"/>
          <w:sz w:val="28"/>
          <w:szCs w:val="28"/>
          <w:lang w:val="en-US" w:eastAsia="zh-CN"/>
        </w:rPr>
        <w:t>实施绿化养护管理，负责对校区内的绿化区域进行绿地保洁（含绿地内园路）、日常浇灌、除草、松土、修枝整形、病虫害防治、施肥、防风、排涝、绿化灌溉设施修缮、树木移植、花草补种等工作，营造良好的园林景观，美化学校环境。供应商工作需要的设备、器具、工具、消耗的农药、肥料、花种、草种等物料费用由供应商自行承担，供应商管理过程中死亡或丢失的绿植应照价赔偿或按要求补种。供应商在接到中标通知书后一周内，要完成各绿化区域面积核算、苗木和绿植清点等工作，签订合同当天要完成各类绿植、苗木、草地等管理项目的交接工作。后期如有绿化面积增减的情况，按供应商中标价据实结算。</w:t>
      </w:r>
    </w:p>
    <w:p w14:paraId="6CACE12F">
      <w:pPr>
        <w:pStyle w:val="8"/>
        <w:pageBreakBefore w:val="0"/>
        <w:tabs>
          <w:tab w:val="left" w:pos="0"/>
        </w:tabs>
        <w:kinsoku/>
        <w:wordWrap/>
        <w:overflowPunct/>
        <w:topLinePunct w:val="0"/>
        <w:bidi w:val="0"/>
        <w:spacing w:before="0" w:after="0" w:line="360" w:lineRule="auto"/>
        <w:ind w:left="0" w:leftChars="0" w:right="0" w:firstLine="562"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服务范围</w:t>
      </w:r>
    </w:p>
    <w:p w14:paraId="3154098A">
      <w:pPr>
        <w:pageBreakBefore w:val="0"/>
        <w:tabs>
          <w:tab w:val="left" w:pos="540"/>
          <w:tab w:val="left" w:pos="720"/>
          <w:tab w:val="left" w:pos="1080"/>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全校区绿化总面积</w:t>
      </w:r>
      <w:r>
        <w:rPr>
          <w:rFonts w:hint="eastAsia" w:ascii="仿宋" w:hAnsi="仿宋" w:eastAsia="仿宋" w:cs="仿宋"/>
          <w:b w:val="0"/>
          <w:bCs/>
          <w:color w:val="auto"/>
          <w:sz w:val="28"/>
          <w:szCs w:val="28"/>
        </w:rPr>
        <w:t>为</w:t>
      </w:r>
      <w:r>
        <w:rPr>
          <w:rFonts w:hint="eastAsia" w:ascii="仿宋" w:hAnsi="仿宋" w:eastAsia="仿宋" w:cs="仿宋"/>
          <w:b w:val="0"/>
          <w:bCs/>
          <w:color w:val="auto"/>
          <w:sz w:val="28"/>
          <w:szCs w:val="28"/>
          <w:lang w:val="en-US" w:eastAsia="zh-CN"/>
        </w:rPr>
        <w:t>334304.17</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highlight w:val="none"/>
        </w:rPr>
        <w:t>每</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eastAsia="zh-CN"/>
        </w:rPr>
        <w:t>绿化景观改造提升费用</w:t>
      </w:r>
      <w:r>
        <w:rPr>
          <w:rFonts w:hint="eastAsia" w:ascii="仿宋" w:hAnsi="仿宋" w:eastAsia="仿宋" w:cs="仿宋"/>
          <w:bCs/>
          <w:color w:val="auto"/>
          <w:sz w:val="28"/>
          <w:szCs w:val="28"/>
          <w:highlight w:val="none"/>
          <w:lang w:val="en-US" w:eastAsia="zh-CN"/>
        </w:rPr>
        <w:t>为20</w:t>
      </w:r>
      <w:r>
        <w:rPr>
          <w:rFonts w:hint="eastAsia" w:ascii="仿宋" w:hAnsi="仿宋" w:eastAsia="仿宋" w:cs="仿宋"/>
          <w:bCs/>
          <w:color w:val="auto"/>
          <w:sz w:val="28"/>
          <w:szCs w:val="28"/>
          <w:highlight w:val="none"/>
        </w:rPr>
        <w:t>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bCs/>
          <w:color w:val="auto"/>
          <w:sz w:val="28"/>
          <w:szCs w:val="28"/>
          <w:highlight w:val="none"/>
        </w:rPr>
        <w:t>，据实结算</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p>
    <w:p w14:paraId="7EC2D135">
      <w:pPr>
        <w:pageBreakBefore w:val="0"/>
        <w:tabs>
          <w:tab w:val="left" w:pos="540"/>
          <w:tab w:val="left" w:pos="720"/>
          <w:tab w:val="left" w:pos="1080"/>
        </w:tabs>
        <w:kinsoku/>
        <w:wordWrap/>
        <w:overflowPunct/>
        <w:topLinePunct w:val="0"/>
        <w:bidi w:val="0"/>
        <w:spacing w:line="360" w:lineRule="auto"/>
        <w:ind w:left="0" w:leftChars="0" w:right="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绿化服务项目详细统计表</w:t>
      </w:r>
    </w:p>
    <w:tbl>
      <w:tblPr>
        <w:tblStyle w:val="53"/>
        <w:tblW w:w="9638" w:type="dxa"/>
        <w:jc w:val="center"/>
        <w:tblLayout w:type="fixed"/>
        <w:tblCellMar>
          <w:top w:w="0" w:type="dxa"/>
          <w:left w:w="108" w:type="dxa"/>
          <w:bottom w:w="0" w:type="dxa"/>
          <w:right w:w="108" w:type="dxa"/>
        </w:tblCellMar>
      </w:tblPr>
      <w:tblGrid>
        <w:gridCol w:w="771"/>
        <w:gridCol w:w="4206"/>
        <w:gridCol w:w="2069"/>
        <w:gridCol w:w="779"/>
        <w:gridCol w:w="1813"/>
      </w:tblGrid>
      <w:tr w14:paraId="65D42E18">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27E51B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3959" w:type="dxa"/>
            <w:tcBorders>
              <w:top w:val="single" w:color="auto" w:sz="4" w:space="0"/>
              <w:left w:val="nil"/>
              <w:bottom w:val="single" w:color="auto" w:sz="4" w:space="0"/>
              <w:right w:val="single" w:color="auto" w:sz="4" w:space="0"/>
            </w:tcBorders>
            <w:vAlign w:val="center"/>
          </w:tcPr>
          <w:p w14:paraId="69BCF76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项目名称</w:t>
            </w:r>
          </w:p>
        </w:tc>
        <w:tc>
          <w:tcPr>
            <w:tcW w:w="1947" w:type="dxa"/>
            <w:tcBorders>
              <w:top w:val="single" w:color="auto" w:sz="4" w:space="0"/>
              <w:left w:val="nil"/>
              <w:bottom w:val="single" w:color="auto" w:sz="4" w:space="0"/>
              <w:right w:val="single" w:color="auto" w:sz="4" w:space="0"/>
            </w:tcBorders>
            <w:vAlign w:val="center"/>
          </w:tcPr>
          <w:p w14:paraId="111E0F67">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绿化面积（㎡）</w:t>
            </w:r>
          </w:p>
        </w:tc>
        <w:tc>
          <w:tcPr>
            <w:tcW w:w="733" w:type="dxa"/>
            <w:tcBorders>
              <w:top w:val="single" w:color="auto" w:sz="4" w:space="0"/>
              <w:left w:val="nil"/>
              <w:bottom w:val="single" w:color="auto" w:sz="4" w:space="0"/>
              <w:right w:val="single" w:color="auto" w:sz="4" w:space="0"/>
            </w:tcBorders>
            <w:vAlign w:val="center"/>
          </w:tcPr>
          <w:p w14:paraId="45AA5D4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人数</w:t>
            </w:r>
          </w:p>
        </w:tc>
        <w:tc>
          <w:tcPr>
            <w:tcW w:w="1706" w:type="dxa"/>
            <w:tcBorders>
              <w:top w:val="single" w:color="auto" w:sz="4" w:space="0"/>
              <w:left w:val="nil"/>
              <w:bottom w:val="single" w:color="auto" w:sz="4" w:space="0"/>
              <w:right w:val="single" w:color="auto" w:sz="4" w:space="0"/>
            </w:tcBorders>
            <w:vAlign w:val="center"/>
          </w:tcPr>
          <w:p w14:paraId="1C0B495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备注</w:t>
            </w:r>
          </w:p>
        </w:tc>
      </w:tr>
      <w:tr w14:paraId="51B70F15">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A4FA18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p>
        </w:tc>
        <w:tc>
          <w:tcPr>
            <w:tcW w:w="3959" w:type="dxa"/>
            <w:tcBorders>
              <w:top w:val="single" w:color="auto" w:sz="4" w:space="0"/>
              <w:left w:val="single" w:color="auto" w:sz="4" w:space="0"/>
              <w:bottom w:val="single" w:color="auto" w:sz="4" w:space="0"/>
              <w:right w:val="single" w:color="auto" w:sz="4" w:space="0"/>
            </w:tcBorders>
            <w:vAlign w:val="center"/>
          </w:tcPr>
          <w:p w14:paraId="3CDC6A82">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绿化主管</w:t>
            </w:r>
          </w:p>
        </w:tc>
        <w:tc>
          <w:tcPr>
            <w:tcW w:w="1947" w:type="dxa"/>
            <w:tcBorders>
              <w:top w:val="single" w:color="auto" w:sz="4" w:space="0"/>
              <w:left w:val="single" w:color="auto" w:sz="4" w:space="0"/>
              <w:bottom w:val="single" w:color="auto" w:sz="4" w:space="0"/>
              <w:right w:val="single" w:color="auto" w:sz="4" w:space="0"/>
            </w:tcBorders>
            <w:vAlign w:val="center"/>
          </w:tcPr>
          <w:p w14:paraId="7D83A4A4">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5BF12D61">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06D3BD03">
            <w:pPr>
              <w:pageBreakBefore w:val="0"/>
              <w:kinsoku/>
              <w:wordWrap/>
              <w:overflowPunct/>
              <w:topLinePunct w:val="0"/>
              <w:bidi w:val="0"/>
              <w:spacing w:line="360" w:lineRule="auto"/>
              <w:ind w:right="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为确保绿化养护工作正常开展，需配备绿化主管1人，园艺花卉技术员1人，区域绿化养护人员28人，共计30人。</w:t>
            </w:r>
          </w:p>
        </w:tc>
      </w:tr>
      <w:tr w14:paraId="6FF803D0">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A75E7D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w:t>
            </w:r>
          </w:p>
        </w:tc>
        <w:tc>
          <w:tcPr>
            <w:tcW w:w="3959" w:type="dxa"/>
            <w:tcBorders>
              <w:top w:val="single" w:color="auto" w:sz="4" w:space="0"/>
              <w:left w:val="single" w:color="auto" w:sz="4" w:space="0"/>
              <w:bottom w:val="single" w:color="auto" w:sz="4" w:space="0"/>
              <w:right w:val="single" w:color="auto" w:sz="4" w:space="0"/>
            </w:tcBorders>
            <w:vAlign w:val="center"/>
          </w:tcPr>
          <w:p w14:paraId="1CBC6B76">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园艺花卉技术员</w:t>
            </w:r>
          </w:p>
        </w:tc>
        <w:tc>
          <w:tcPr>
            <w:tcW w:w="1947" w:type="dxa"/>
            <w:tcBorders>
              <w:top w:val="single" w:color="auto" w:sz="4" w:space="0"/>
              <w:left w:val="single" w:color="auto" w:sz="4" w:space="0"/>
              <w:bottom w:val="single" w:color="auto" w:sz="4" w:space="0"/>
              <w:right w:val="single" w:color="auto" w:sz="4" w:space="0"/>
            </w:tcBorders>
            <w:vAlign w:val="center"/>
          </w:tcPr>
          <w:p w14:paraId="3BBC2566">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0E95DDB1">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A6D2E57">
            <w:pPr>
              <w:pageBreakBefore w:val="0"/>
              <w:kinsoku/>
              <w:wordWrap/>
              <w:overflowPunct/>
              <w:topLinePunct w:val="0"/>
              <w:bidi w:val="0"/>
              <w:spacing w:line="360" w:lineRule="auto"/>
              <w:ind w:left="0" w:leftChars="0" w:right="0" w:firstLine="480" w:firstLineChars="200"/>
              <w:rPr>
                <w:rFonts w:hint="eastAsia" w:ascii="仿宋" w:hAnsi="仿宋" w:eastAsia="仿宋" w:cs="仿宋"/>
                <w:b w:val="0"/>
                <w:bCs w:val="0"/>
                <w:color w:val="auto"/>
                <w:sz w:val="24"/>
                <w:szCs w:val="24"/>
                <w:lang w:val="en-US" w:eastAsia="zh-CN"/>
              </w:rPr>
            </w:pPr>
          </w:p>
        </w:tc>
      </w:tr>
      <w:tr w14:paraId="0F701617">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191BA1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3257A9D1">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一期部分</w:t>
            </w:r>
          </w:p>
        </w:tc>
        <w:tc>
          <w:tcPr>
            <w:tcW w:w="1947" w:type="dxa"/>
            <w:tcBorders>
              <w:top w:val="single" w:color="auto" w:sz="4" w:space="0"/>
              <w:left w:val="single" w:color="auto" w:sz="4" w:space="0"/>
              <w:bottom w:val="single" w:color="auto" w:sz="4" w:space="0"/>
              <w:right w:val="single" w:color="auto" w:sz="4" w:space="0"/>
            </w:tcBorders>
            <w:vAlign w:val="center"/>
          </w:tcPr>
          <w:p w14:paraId="0056EC0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017787A1">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4B044B9B">
            <w:pPr>
              <w:pageBreakBefore w:val="0"/>
              <w:kinsoku/>
              <w:wordWrap/>
              <w:overflowPunct/>
              <w:topLinePunct w:val="0"/>
              <w:bidi w:val="0"/>
              <w:spacing w:line="360" w:lineRule="auto"/>
              <w:ind w:left="0" w:leftChars="0" w:right="0" w:firstLine="480" w:firstLineChars="200"/>
              <w:rPr>
                <w:rFonts w:hint="eastAsia" w:ascii="仿宋" w:hAnsi="仿宋" w:eastAsia="仿宋" w:cs="仿宋"/>
                <w:b w:val="0"/>
                <w:bCs w:val="0"/>
                <w:color w:val="auto"/>
                <w:sz w:val="24"/>
                <w:szCs w:val="24"/>
                <w:lang w:val="en-US" w:eastAsia="zh-CN"/>
              </w:rPr>
            </w:pPr>
          </w:p>
        </w:tc>
      </w:tr>
      <w:tr w14:paraId="4FB42156">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092338E">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6</w:t>
            </w:r>
          </w:p>
        </w:tc>
        <w:tc>
          <w:tcPr>
            <w:tcW w:w="3959" w:type="dxa"/>
            <w:tcBorders>
              <w:top w:val="single" w:color="auto" w:sz="4" w:space="0"/>
              <w:left w:val="single" w:color="auto" w:sz="4" w:space="0"/>
              <w:bottom w:val="single" w:color="auto" w:sz="4" w:space="0"/>
              <w:right w:val="single" w:color="auto" w:sz="4" w:space="0"/>
            </w:tcBorders>
            <w:vAlign w:val="center"/>
          </w:tcPr>
          <w:p w14:paraId="12BA1F4B">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教学楼周边区域、中轴色块</w:t>
            </w:r>
          </w:p>
        </w:tc>
        <w:tc>
          <w:tcPr>
            <w:tcW w:w="1947" w:type="dxa"/>
            <w:tcBorders>
              <w:top w:val="single" w:color="auto" w:sz="4" w:space="0"/>
              <w:left w:val="single" w:color="auto" w:sz="4" w:space="0"/>
              <w:bottom w:val="single" w:color="auto" w:sz="4" w:space="0"/>
              <w:right w:val="single" w:color="auto" w:sz="4" w:space="0"/>
            </w:tcBorders>
            <w:vAlign w:val="center"/>
          </w:tcPr>
          <w:p w14:paraId="021C767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22908.07</w:t>
            </w:r>
          </w:p>
        </w:tc>
        <w:tc>
          <w:tcPr>
            <w:tcW w:w="733" w:type="dxa"/>
            <w:tcBorders>
              <w:top w:val="single" w:color="auto" w:sz="4" w:space="0"/>
              <w:left w:val="single" w:color="auto" w:sz="4" w:space="0"/>
              <w:bottom w:val="single" w:color="auto" w:sz="4" w:space="0"/>
              <w:right w:val="single" w:color="auto" w:sz="4" w:space="0"/>
            </w:tcBorders>
            <w:vAlign w:val="center"/>
          </w:tcPr>
          <w:p w14:paraId="63BA730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BCC4869">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267EBE9F">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EE94D4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7</w:t>
            </w:r>
          </w:p>
        </w:tc>
        <w:tc>
          <w:tcPr>
            <w:tcW w:w="3959" w:type="dxa"/>
            <w:tcBorders>
              <w:top w:val="single" w:color="auto" w:sz="4" w:space="0"/>
              <w:left w:val="single" w:color="auto" w:sz="4" w:space="0"/>
              <w:bottom w:val="single" w:color="auto" w:sz="4" w:space="0"/>
              <w:right w:val="single" w:color="auto" w:sz="4" w:space="0"/>
            </w:tcBorders>
            <w:vAlign w:val="center"/>
          </w:tcPr>
          <w:p w14:paraId="216012B1">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雅苑1-8、一食堂及小广场周边区域</w:t>
            </w:r>
          </w:p>
        </w:tc>
        <w:tc>
          <w:tcPr>
            <w:tcW w:w="1947" w:type="dxa"/>
            <w:tcBorders>
              <w:top w:val="single" w:color="auto" w:sz="4" w:space="0"/>
              <w:left w:val="single" w:color="auto" w:sz="4" w:space="0"/>
              <w:bottom w:val="single" w:color="auto" w:sz="4" w:space="0"/>
              <w:right w:val="single" w:color="auto" w:sz="4" w:space="0"/>
            </w:tcBorders>
            <w:vAlign w:val="center"/>
          </w:tcPr>
          <w:p w14:paraId="3309C76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31728.02</w:t>
            </w:r>
          </w:p>
        </w:tc>
        <w:tc>
          <w:tcPr>
            <w:tcW w:w="733" w:type="dxa"/>
            <w:tcBorders>
              <w:top w:val="single" w:color="auto" w:sz="4" w:space="0"/>
              <w:left w:val="single" w:color="auto" w:sz="4" w:space="0"/>
              <w:bottom w:val="single" w:color="auto" w:sz="4" w:space="0"/>
              <w:right w:val="single" w:color="auto" w:sz="4" w:space="0"/>
            </w:tcBorders>
            <w:vAlign w:val="center"/>
          </w:tcPr>
          <w:p w14:paraId="5013187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3F95995">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1A8EA271">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A65FC9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58665B29">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199E34C6">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54636.09</w:t>
            </w:r>
          </w:p>
        </w:tc>
        <w:tc>
          <w:tcPr>
            <w:tcW w:w="733" w:type="dxa"/>
            <w:tcBorders>
              <w:top w:val="single" w:color="auto" w:sz="4" w:space="0"/>
              <w:left w:val="single" w:color="auto" w:sz="4" w:space="0"/>
              <w:bottom w:val="single" w:color="auto" w:sz="4" w:space="0"/>
              <w:right w:val="single" w:color="auto" w:sz="4" w:space="0"/>
            </w:tcBorders>
            <w:vAlign w:val="center"/>
          </w:tcPr>
          <w:p w14:paraId="5EBE84E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216B1F8">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3F6B98E5">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7BF3EA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0575CA5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二期部分</w:t>
            </w:r>
          </w:p>
        </w:tc>
        <w:tc>
          <w:tcPr>
            <w:tcW w:w="1947" w:type="dxa"/>
            <w:tcBorders>
              <w:top w:val="single" w:color="auto" w:sz="4" w:space="0"/>
              <w:left w:val="single" w:color="auto" w:sz="4" w:space="0"/>
              <w:bottom w:val="single" w:color="auto" w:sz="4" w:space="0"/>
              <w:right w:val="single" w:color="auto" w:sz="4" w:space="0"/>
            </w:tcBorders>
            <w:vAlign w:val="center"/>
          </w:tcPr>
          <w:p w14:paraId="74C656A6">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2A8509B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56D2EED9">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p>
        </w:tc>
      </w:tr>
      <w:tr w14:paraId="0CC124B8">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D95F914">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8</w:t>
            </w:r>
          </w:p>
        </w:tc>
        <w:tc>
          <w:tcPr>
            <w:tcW w:w="3959" w:type="dxa"/>
            <w:tcBorders>
              <w:top w:val="single" w:color="auto" w:sz="4" w:space="0"/>
              <w:left w:val="single" w:color="auto" w:sz="4" w:space="0"/>
              <w:bottom w:val="single" w:color="auto" w:sz="4" w:space="0"/>
              <w:right w:val="single" w:color="auto" w:sz="4" w:space="0"/>
            </w:tcBorders>
            <w:vAlign w:val="center"/>
          </w:tcPr>
          <w:p w14:paraId="7827E083">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健行路两侧绿化</w:t>
            </w:r>
          </w:p>
        </w:tc>
        <w:tc>
          <w:tcPr>
            <w:tcW w:w="1947" w:type="dxa"/>
            <w:tcBorders>
              <w:top w:val="single" w:color="auto" w:sz="4" w:space="0"/>
              <w:left w:val="single" w:color="auto" w:sz="4" w:space="0"/>
              <w:bottom w:val="single" w:color="auto" w:sz="4" w:space="0"/>
              <w:right w:val="single" w:color="auto" w:sz="4" w:space="0"/>
            </w:tcBorders>
            <w:vAlign w:val="center"/>
          </w:tcPr>
          <w:p w14:paraId="537BB7C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11061.70</w:t>
            </w:r>
          </w:p>
        </w:tc>
        <w:tc>
          <w:tcPr>
            <w:tcW w:w="733" w:type="dxa"/>
            <w:tcBorders>
              <w:top w:val="single" w:color="auto" w:sz="4" w:space="0"/>
              <w:left w:val="single" w:color="auto" w:sz="4" w:space="0"/>
              <w:bottom w:val="single" w:color="auto" w:sz="4" w:space="0"/>
              <w:right w:val="single" w:color="auto" w:sz="4" w:space="0"/>
            </w:tcBorders>
            <w:vAlign w:val="center"/>
          </w:tcPr>
          <w:p w14:paraId="701FEBE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C57103F">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0849AAAB">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7DDD1E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9</w:t>
            </w:r>
          </w:p>
        </w:tc>
        <w:tc>
          <w:tcPr>
            <w:tcW w:w="3959" w:type="dxa"/>
            <w:tcBorders>
              <w:top w:val="single" w:color="auto" w:sz="4" w:space="0"/>
              <w:left w:val="single" w:color="auto" w:sz="4" w:space="0"/>
              <w:bottom w:val="single" w:color="auto" w:sz="4" w:space="0"/>
              <w:right w:val="single" w:color="auto" w:sz="4" w:space="0"/>
            </w:tcBorders>
            <w:vAlign w:val="center"/>
          </w:tcPr>
          <w:p w14:paraId="5C076A4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行政办公楼周边区域绿化</w:t>
            </w:r>
          </w:p>
        </w:tc>
        <w:tc>
          <w:tcPr>
            <w:tcW w:w="1947" w:type="dxa"/>
            <w:tcBorders>
              <w:top w:val="single" w:color="auto" w:sz="4" w:space="0"/>
              <w:left w:val="single" w:color="auto" w:sz="4" w:space="0"/>
              <w:bottom w:val="single" w:color="auto" w:sz="4" w:space="0"/>
              <w:right w:val="single" w:color="auto" w:sz="4" w:space="0"/>
            </w:tcBorders>
            <w:vAlign w:val="center"/>
          </w:tcPr>
          <w:p w14:paraId="3206247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25528.93</w:t>
            </w:r>
          </w:p>
        </w:tc>
        <w:tc>
          <w:tcPr>
            <w:tcW w:w="733" w:type="dxa"/>
            <w:tcBorders>
              <w:top w:val="single" w:color="auto" w:sz="4" w:space="0"/>
              <w:left w:val="single" w:color="auto" w:sz="4" w:space="0"/>
              <w:bottom w:val="single" w:color="auto" w:sz="4" w:space="0"/>
              <w:right w:val="single" w:color="auto" w:sz="4" w:space="0"/>
            </w:tcBorders>
            <w:vAlign w:val="center"/>
          </w:tcPr>
          <w:p w14:paraId="0F0D43A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425D02D">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65970DF0">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ABCB5B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10</w:t>
            </w:r>
          </w:p>
        </w:tc>
        <w:tc>
          <w:tcPr>
            <w:tcW w:w="3959" w:type="dxa"/>
            <w:tcBorders>
              <w:top w:val="single" w:color="auto" w:sz="4" w:space="0"/>
              <w:left w:val="single" w:color="auto" w:sz="4" w:space="0"/>
              <w:bottom w:val="single" w:color="auto" w:sz="4" w:space="0"/>
              <w:right w:val="single" w:color="auto" w:sz="4" w:space="0"/>
            </w:tcBorders>
            <w:vAlign w:val="center"/>
          </w:tcPr>
          <w:p w14:paraId="26DFCC57">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实验楼、二食堂、静苑学生宿舍楼周边区域绿化</w:t>
            </w:r>
          </w:p>
        </w:tc>
        <w:tc>
          <w:tcPr>
            <w:tcW w:w="1947" w:type="dxa"/>
            <w:tcBorders>
              <w:top w:val="single" w:color="auto" w:sz="4" w:space="0"/>
              <w:left w:val="single" w:color="auto" w:sz="4" w:space="0"/>
              <w:bottom w:val="single" w:color="auto" w:sz="4" w:space="0"/>
              <w:right w:val="single" w:color="auto" w:sz="4" w:space="0"/>
            </w:tcBorders>
            <w:vAlign w:val="center"/>
          </w:tcPr>
          <w:p w14:paraId="23178C4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27431.37</w:t>
            </w:r>
          </w:p>
        </w:tc>
        <w:tc>
          <w:tcPr>
            <w:tcW w:w="733" w:type="dxa"/>
            <w:tcBorders>
              <w:top w:val="single" w:color="auto" w:sz="4" w:space="0"/>
              <w:left w:val="single" w:color="auto" w:sz="4" w:space="0"/>
              <w:bottom w:val="single" w:color="auto" w:sz="4" w:space="0"/>
              <w:right w:val="single" w:color="auto" w:sz="4" w:space="0"/>
            </w:tcBorders>
            <w:vAlign w:val="center"/>
          </w:tcPr>
          <w:p w14:paraId="51A4443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1B440E87">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32703D97">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3BCB28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11</w:t>
            </w:r>
          </w:p>
        </w:tc>
        <w:tc>
          <w:tcPr>
            <w:tcW w:w="3959" w:type="dxa"/>
            <w:tcBorders>
              <w:top w:val="single" w:color="auto" w:sz="4" w:space="0"/>
              <w:left w:val="single" w:color="auto" w:sz="4" w:space="0"/>
              <w:bottom w:val="single" w:color="auto" w:sz="4" w:space="0"/>
              <w:right w:val="single" w:color="auto" w:sz="4" w:space="0"/>
            </w:tcBorders>
            <w:vAlign w:val="center"/>
          </w:tcPr>
          <w:p w14:paraId="008DC0E8">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建树楼周边区域绿化</w:t>
            </w:r>
          </w:p>
        </w:tc>
        <w:tc>
          <w:tcPr>
            <w:tcW w:w="1947" w:type="dxa"/>
            <w:tcBorders>
              <w:top w:val="single" w:color="auto" w:sz="4" w:space="0"/>
              <w:left w:val="single" w:color="auto" w:sz="4" w:space="0"/>
              <w:bottom w:val="single" w:color="auto" w:sz="4" w:space="0"/>
              <w:right w:val="single" w:color="auto" w:sz="4" w:space="0"/>
            </w:tcBorders>
            <w:vAlign w:val="center"/>
          </w:tcPr>
          <w:p w14:paraId="2570DF00">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4182.37</w:t>
            </w:r>
          </w:p>
        </w:tc>
        <w:tc>
          <w:tcPr>
            <w:tcW w:w="733" w:type="dxa"/>
            <w:tcBorders>
              <w:top w:val="single" w:color="auto" w:sz="4" w:space="0"/>
              <w:left w:val="single" w:color="auto" w:sz="4" w:space="0"/>
              <w:bottom w:val="single" w:color="auto" w:sz="4" w:space="0"/>
              <w:right w:val="single" w:color="auto" w:sz="4" w:space="0"/>
            </w:tcBorders>
            <w:vAlign w:val="center"/>
          </w:tcPr>
          <w:p w14:paraId="7AA1B11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5DF61977">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23DE0670">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D0B373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14E2ADE1">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1CA2072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68204.37</w:t>
            </w:r>
          </w:p>
        </w:tc>
        <w:tc>
          <w:tcPr>
            <w:tcW w:w="733" w:type="dxa"/>
            <w:tcBorders>
              <w:top w:val="single" w:color="auto" w:sz="4" w:space="0"/>
              <w:left w:val="single" w:color="auto" w:sz="4" w:space="0"/>
              <w:bottom w:val="single" w:color="auto" w:sz="4" w:space="0"/>
              <w:right w:val="single" w:color="auto" w:sz="4" w:space="0"/>
            </w:tcBorders>
            <w:vAlign w:val="center"/>
          </w:tcPr>
          <w:p w14:paraId="09DC53E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5A17C159">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4330B6BA">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34261A7">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068542D1">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三期部分</w:t>
            </w:r>
          </w:p>
        </w:tc>
        <w:tc>
          <w:tcPr>
            <w:tcW w:w="1947" w:type="dxa"/>
            <w:tcBorders>
              <w:top w:val="single" w:color="auto" w:sz="4" w:space="0"/>
              <w:left w:val="single" w:color="auto" w:sz="4" w:space="0"/>
              <w:bottom w:val="single" w:color="auto" w:sz="4" w:space="0"/>
              <w:right w:val="single" w:color="auto" w:sz="4" w:space="0"/>
            </w:tcBorders>
            <w:vAlign w:val="center"/>
          </w:tcPr>
          <w:p w14:paraId="024C291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6C58B22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CA8B222">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p>
        </w:tc>
      </w:tr>
      <w:tr w14:paraId="562561FD">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F54606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12</w:t>
            </w:r>
          </w:p>
        </w:tc>
        <w:tc>
          <w:tcPr>
            <w:tcW w:w="3959" w:type="dxa"/>
            <w:tcBorders>
              <w:top w:val="single" w:color="auto" w:sz="4" w:space="0"/>
              <w:left w:val="single" w:color="auto" w:sz="4" w:space="0"/>
              <w:bottom w:val="single" w:color="auto" w:sz="4" w:space="0"/>
              <w:right w:val="single" w:color="auto" w:sz="4" w:space="0"/>
            </w:tcBorders>
            <w:vAlign w:val="center"/>
          </w:tcPr>
          <w:p w14:paraId="74BBBDCE">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怡苑学生公寓、第三食堂、室内训练馆、东运动场等建筑周边区域</w:t>
            </w:r>
          </w:p>
        </w:tc>
        <w:tc>
          <w:tcPr>
            <w:tcW w:w="1947" w:type="dxa"/>
            <w:tcBorders>
              <w:top w:val="single" w:color="auto" w:sz="4" w:space="0"/>
              <w:left w:val="single" w:color="auto" w:sz="4" w:space="0"/>
              <w:bottom w:val="single" w:color="auto" w:sz="4" w:space="0"/>
              <w:right w:val="single" w:color="auto" w:sz="4" w:space="0"/>
            </w:tcBorders>
            <w:vAlign w:val="center"/>
          </w:tcPr>
          <w:p w14:paraId="5FFFA4D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51220.32</w:t>
            </w:r>
          </w:p>
        </w:tc>
        <w:tc>
          <w:tcPr>
            <w:tcW w:w="733" w:type="dxa"/>
            <w:tcBorders>
              <w:top w:val="single" w:color="auto" w:sz="4" w:space="0"/>
              <w:left w:val="single" w:color="auto" w:sz="4" w:space="0"/>
              <w:bottom w:val="single" w:color="auto" w:sz="4" w:space="0"/>
              <w:right w:val="single" w:color="auto" w:sz="4" w:space="0"/>
            </w:tcBorders>
            <w:vAlign w:val="center"/>
          </w:tcPr>
          <w:p w14:paraId="4FF6E484">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EBDDFA3">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02267478">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DE7C6D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39F587C9">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71B0A5C0">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51220.32</w:t>
            </w:r>
          </w:p>
        </w:tc>
        <w:tc>
          <w:tcPr>
            <w:tcW w:w="733" w:type="dxa"/>
            <w:tcBorders>
              <w:top w:val="single" w:color="auto" w:sz="4" w:space="0"/>
              <w:left w:val="single" w:color="auto" w:sz="4" w:space="0"/>
              <w:bottom w:val="single" w:color="auto" w:sz="4" w:space="0"/>
              <w:right w:val="single" w:color="auto" w:sz="4" w:space="0"/>
            </w:tcBorders>
            <w:vAlign w:val="center"/>
          </w:tcPr>
          <w:p w14:paraId="3754976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0BB82D7">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62735688">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D95828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1234215F">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图书馆中心区域</w:t>
            </w:r>
          </w:p>
        </w:tc>
        <w:tc>
          <w:tcPr>
            <w:tcW w:w="1947" w:type="dxa"/>
            <w:tcBorders>
              <w:top w:val="single" w:color="auto" w:sz="4" w:space="0"/>
              <w:left w:val="single" w:color="auto" w:sz="4" w:space="0"/>
              <w:bottom w:val="single" w:color="auto" w:sz="4" w:space="0"/>
              <w:right w:val="single" w:color="auto" w:sz="4" w:space="0"/>
            </w:tcBorders>
            <w:vAlign w:val="center"/>
          </w:tcPr>
          <w:p w14:paraId="40247F0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3625F1C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8B1BA19">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p>
        </w:tc>
      </w:tr>
      <w:tr w14:paraId="455D1099">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4561C9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13</w:t>
            </w:r>
          </w:p>
        </w:tc>
        <w:tc>
          <w:tcPr>
            <w:tcW w:w="3959" w:type="dxa"/>
            <w:tcBorders>
              <w:top w:val="single" w:color="auto" w:sz="4" w:space="0"/>
              <w:left w:val="single" w:color="auto" w:sz="4" w:space="0"/>
              <w:bottom w:val="single" w:color="auto" w:sz="4" w:space="0"/>
              <w:right w:val="single" w:color="auto" w:sz="4" w:space="0"/>
            </w:tcBorders>
            <w:vAlign w:val="center"/>
          </w:tcPr>
          <w:p w14:paraId="55E78EDE">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教学科研楼东侧绿化</w:t>
            </w:r>
          </w:p>
        </w:tc>
        <w:tc>
          <w:tcPr>
            <w:tcW w:w="1947" w:type="dxa"/>
            <w:tcBorders>
              <w:top w:val="single" w:color="auto" w:sz="4" w:space="0"/>
              <w:left w:val="single" w:color="auto" w:sz="4" w:space="0"/>
              <w:bottom w:val="single" w:color="auto" w:sz="4" w:space="0"/>
              <w:right w:val="single" w:color="auto" w:sz="4" w:space="0"/>
            </w:tcBorders>
            <w:vAlign w:val="center"/>
          </w:tcPr>
          <w:p w14:paraId="309B162E">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43721.22</w:t>
            </w:r>
          </w:p>
        </w:tc>
        <w:tc>
          <w:tcPr>
            <w:tcW w:w="733" w:type="dxa"/>
            <w:tcBorders>
              <w:top w:val="single" w:color="auto" w:sz="4" w:space="0"/>
              <w:left w:val="single" w:color="auto" w:sz="4" w:space="0"/>
              <w:bottom w:val="single" w:color="auto" w:sz="4" w:space="0"/>
              <w:right w:val="single" w:color="auto" w:sz="4" w:space="0"/>
            </w:tcBorders>
            <w:vAlign w:val="center"/>
          </w:tcPr>
          <w:p w14:paraId="5FAECC9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426E1E76">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35DA1120">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9FDAD8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14</w:t>
            </w:r>
          </w:p>
        </w:tc>
        <w:tc>
          <w:tcPr>
            <w:tcW w:w="3959" w:type="dxa"/>
            <w:tcBorders>
              <w:top w:val="single" w:color="auto" w:sz="4" w:space="0"/>
              <w:left w:val="single" w:color="auto" w:sz="4" w:space="0"/>
              <w:bottom w:val="single" w:color="auto" w:sz="4" w:space="0"/>
              <w:right w:val="single" w:color="auto" w:sz="4" w:space="0"/>
            </w:tcBorders>
            <w:vAlign w:val="center"/>
          </w:tcPr>
          <w:p w14:paraId="7E06683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湖面面积</w:t>
            </w:r>
          </w:p>
        </w:tc>
        <w:tc>
          <w:tcPr>
            <w:tcW w:w="1947" w:type="dxa"/>
            <w:tcBorders>
              <w:top w:val="single" w:color="auto" w:sz="4" w:space="0"/>
              <w:left w:val="single" w:color="auto" w:sz="4" w:space="0"/>
              <w:bottom w:val="single" w:color="auto" w:sz="4" w:space="0"/>
              <w:right w:val="single" w:color="auto" w:sz="4" w:space="0"/>
            </w:tcBorders>
            <w:vAlign w:val="center"/>
          </w:tcPr>
          <w:p w14:paraId="619F6BC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11000.00</w:t>
            </w:r>
          </w:p>
        </w:tc>
        <w:tc>
          <w:tcPr>
            <w:tcW w:w="733" w:type="dxa"/>
            <w:tcBorders>
              <w:top w:val="single" w:color="auto" w:sz="4" w:space="0"/>
              <w:left w:val="single" w:color="auto" w:sz="4" w:space="0"/>
              <w:bottom w:val="single" w:color="auto" w:sz="4" w:space="0"/>
              <w:right w:val="single" w:color="auto" w:sz="4" w:space="0"/>
            </w:tcBorders>
            <w:vAlign w:val="center"/>
          </w:tcPr>
          <w:p w14:paraId="4DF11C8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0EEB5F8">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6AD3DAFB">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D6CEC8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15</w:t>
            </w:r>
          </w:p>
        </w:tc>
        <w:tc>
          <w:tcPr>
            <w:tcW w:w="3959" w:type="dxa"/>
            <w:tcBorders>
              <w:top w:val="single" w:color="auto" w:sz="4" w:space="0"/>
              <w:left w:val="single" w:color="auto" w:sz="4" w:space="0"/>
              <w:bottom w:val="single" w:color="auto" w:sz="4" w:space="0"/>
              <w:right w:val="single" w:color="auto" w:sz="4" w:space="0"/>
            </w:tcBorders>
            <w:vAlign w:val="center"/>
          </w:tcPr>
          <w:p w14:paraId="5FD9659A">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假山及假山东侧绿化</w:t>
            </w:r>
          </w:p>
        </w:tc>
        <w:tc>
          <w:tcPr>
            <w:tcW w:w="1947" w:type="dxa"/>
            <w:tcBorders>
              <w:top w:val="single" w:color="auto" w:sz="4" w:space="0"/>
              <w:left w:val="single" w:color="auto" w:sz="4" w:space="0"/>
              <w:bottom w:val="single" w:color="auto" w:sz="4" w:space="0"/>
              <w:right w:val="single" w:color="auto" w:sz="4" w:space="0"/>
            </w:tcBorders>
            <w:vAlign w:val="center"/>
          </w:tcPr>
          <w:p w14:paraId="1B30053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7537.29</w:t>
            </w:r>
          </w:p>
        </w:tc>
        <w:tc>
          <w:tcPr>
            <w:tcW w:w="733" w:type="dxa"/>
            <w:tcBorders>
              <w:top w:val="single" w:color="auto" w:sz="4" w:space="0"/>
              <w:left w:val="single" w:color="auto" w:sz="4" w:space="0"/>
              <w:bottom w:val="single" w:color="auto" w:sz="4" w:space="0"/>
              <w:right w:val="single" w:color="auto" w:sz="4" w:space="0"/>
            </w:tcBorders>
            <w:vAlign w:val="center"/>
          </w:tcPr>
          <w:p w14:paraId="338202E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ECCCCF7">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3C26EC0F">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2B40BF1">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16</w:t>
            </w:r>
          </w:p>
        </w:tc>
        <w:tc>
          <w:tcPr>
            <w:tcW w:w="3959" w:type="dxa"/>
            <w:tcBorders>
              <w:top w:val="single" w:color="auto" w:sz="4" w:space="0"/>
              <w:left w:val="single" w:color="auto" w:sz="4" w:space="0"/>
              <w:bottom w:val="single" w:color="auto" w:sz="4" w:space="0"/>
              <w:right w:val="single" w:color="auto" w:sz="4" w:space="0"/>
            </w:tcBorders>
            <w:vAlign w:val="center"/>
          </w:tcPr>
          <w:p w14:paraId="1CE7514D">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中心区域绿化</w:t>
            </w:r>
          </w:p>
        </w:tc>
        <w:tc>
          <w:tcPr>
            <w:tcW w:w="1947" w:type="dxa"/>
            <w:tcBorders>
              <w:top w:val="single" w:color="auto" w:sz="4" w:space="0"/>
              <w:left w:val="single" w:color="auto" w:sz="4" w:space="0"/>
              <w:bottom w:val="single" w:color="auto" w:sz="4" w:space="0"/>
              <w:right w:val="single" w:color="auto" w:sz="4" w:space="0"/>
            </w:tcBorders>
            <w:vAlign w:val="center"/>
          </w:tcPr>
          <w:p w14:paraId="2287239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15072.00</w:t>
            </w:r>
          </w:p>
        </w:tc>
        <w:tc>
          <w:tcPr>
            <w:tcW w:w="733" w:type="dxa"/>
            <w:tcBorders>
              <w:top w:val="single" w:color="auto" w:sz="4" w:space="0"/>
              <w:left w:val="single" w:color="auto" w:sz="4" w:space="0"/>
              <w:bottom w:val="single" w:color="auto" w:sz="4" w:space="0"/>
              <w:right w:val="single" w:color="auto" w:sz="4" w:space="0"/>
            </w:tcBorders>
            <w:vAlign w:val="center"/>
          </w:tcPr>
          <w:p w14:paraId="1C7CA2C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75718E5">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64342A80">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676F76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17</w:t>
            </w:r>
          </w:p>
        </w:tc>
        <w:tc>
          <w:tcPr>
            <w:tcW w:w="3959" w:type="dxa"/>
            <w:tcBorders>
              <w:top w:val="single" w:color="auto" w:sz="4" w:space="0"/>
              <w:left w:val="single" w:color="auto" w:sz="4" w:space="0"/>
              <w:bottom w:val="single" w:color="auto" w:sz="4" w:space="0"/>
              <w:right w:val="single" w:color="auto" w:sz="4" w:space="0"/>
            </w:tcBorders>
            <w:vAlign w:val="center"/>
          </w:tcPr>
          <w:p w14:paraId="2237D086">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假山叠瀑工程</w:t>
            </w:r>
          </w:p>
        </w:tc>
        <w:tc>
          <w:tcPr>
            <w:tcW w:w="1947" w:type="dxa"/>
            <w:tcBorders>
              <w:top w:val="single" w:color="auto" w:sz="4" w:space="0"/>
              <w:left w:val="single" w:color="auto" w:sz="4" w:space="0"/>
              <w:bottom w:val="single" w:color="auto" w:sz="4" w:space="0"/>
              <w:right w:val="single" w:color="auto" w:sz="4" w:space="0"/>
            </w:tcBorders>
            <w:vAlign w:val="center"/>
          </w:tcPr>
          <w:p w14:paraId="49B95FAE">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9927.88</w:t>
            </w:r>
          </w:p>
        </w:tc>
        <w:tc>
          <w:tcPr>
            <w:tcW w:w="733" w:type="dxa"/>
            <w:tcBorders>
              <w:top w:val="single" w:color="auto" w:sz="4" w:space="0"/>
              <w:left w:val="single" w:color="auto" w:sz="4" w:space="0"/>
              <w:bottom w:val="single" w:color="auto" w:sz="4" w:space="0"/>
              <w:right w:val="single" w:color="auto" w:sz="4" w:space="0"/>
            </w:tcBorders>
            <w:vAlign w:val="center"/>
          </w:tcPr>
          <w:p w14:paraId="0AE03DC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B5AA8F2">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0DCEFD22">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51C99D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079CFF1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6EA1352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87258.39</w:t>
            </w:r>
          </w:p>
        </w:tc>
        <w:tc>
          <w:tcPr>
            <w:tcW w:w="733" w:type="dxa"/>
            <w:tcBorders>
              <w:top w:val="single" w:color="auto" w:sz="4" w:space="0"/>
              <w:left w:val="single" w:color="auto" w:sz="4" w:space="0"/>
              <w:bottom w:val="single" w:color="auto" w:sz="4" w:space="0"/>
              <w:right w:val="single" w:color="auto" w:sz="4" w:space="0"/>
            </w:tcBorders>
            <w:vAlign w:val="center"/>
          </w:tcPr>
          <w:p w14:paraId="1BC8A52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0A0DD44F">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2B9E447F">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AAE807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2801F52C">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运动场部分</w:t>
            </w:r>
          </w:p>
        </w:tc>
        <w:tc>
          <w:tcPr>
            <w:tcW w:w="1947" w:type="dxa"/>
            <w:tcBorders>
              <w:top w:val="single" w:color="auto" w:sz="4" w:space="0"/>
              <w:left w:val="single" w:color="auto" w:sz="4" w:space="0"/>
              <w:bottom w:val="single" w:color="auto" w:sz="4" w:space="0"/>
              <w:right w:val="single" w:color="auto" w:sz="4" w:space="0"/>
            </w:tcBorders>
            <w:vAlign w:val="center"/>
          </w:tcPr>
          <w:p w14:paraId="2E8A386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2A3E941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24E9798B">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p>
        </w:tc>
      </w:tr>
      <w:tr w14:paraId="1D76D9F8">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4B7995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18</w:t>
            </w:r>
          </w:p>
        </w:tc>
        <w:tc>
          <w:tcPr>
            <w:tcW w:w="3959" w:type="dxa"/>
            <w:tcBorders>
              <w:top w:val="single" w:color="auto" w:sz="4" w:space="0"/>
              <w:left w:val="single" w:color="auto" w:sz="4" w:space="0"/>
              <w:bottom w:val="single" w:color="auto" w:sz="4" w:space="0"/>
              <w:right w:val="single" w:color="auto" w:sz="4" w:space="0"/>
            </w:tcBorders>
            <w:vAlign w:val="center"/>
          </w:tcPr>
          <w:p w14:paraId="71CD28E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东运动场内草坪</w:t>
            </w:r>
          </w:p>
        </w:tc>
        <w:tc>
          <w:tcPr>
            <w:tcW w:w="1947" w:type="dxa"/>
            <w:tcBorders>
              <w:top w:val="single" w:color="auto" w:sz="4" w:space="0"/>
              <w:left w:val="single" w:color="auto" w:sz="4" w:space="0"/>
              <w:bottom w:val="single" w:color="auto" w:sz="4" w:space="0"/>
              <w:right w:val="single" w:color="auto" w:sz="4" w:space="0"/>
            </w:tcBorders>
            <w:vAlign w:val="center"/>
          </w:tcPr>
          <w:p w14:paraId="63471CA6">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7880.00</w:t>
            </w:r>
          </w:p>
        </w:tc>
        <w:tc>
          <w:tcPr>
            <w:tcW w:w="733" w:type="dxa"/>
            <w:tcBorders>
              <w:top w:val="single" w:color="auto" w:sz="4" w:space="0"/>
              <w:left w:val="single" w:color="auto" w:sz="4" w:space="0"/>
              <w:bottom w:val="single" w:color="auto" w:sz="4" w:space="0"/>
              <w:right w:val="single" w:color="auto" w:sz="4" w:space="0"/>
            </w:tcBorders>
            <w:vAlign w:val="center"/>
          </w:tcPr>
          <w:p w14:paraId="2DF31AAF">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55EE4E3B">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2180AC60">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F6897D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2112B61E">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35B1925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7880.00</w:t>
            </w:r>
          </w:p>
        </w:tc>
        <w:tc>
          <w:tcPr>
            <w:tcW w:w="733" w:type="dxa"/>
            <w:tcBorders>
              <w:top w:val="single" w:color="auto" w:sz="4" w:space="0"/>
              <w:left w:val="single" w:color="auto" w:sz="4" w:space="0"/>
              <w:bottom w:val="single" w:color="auto" w:sz="4" w:space="0"/>
              <w:right w:val="single" w:color="auto" w:sz="4" w:space="0"/>
            </w:tcBorders>
            <w:vAlign w:val="center"/>
          </w:tcPr>
          <w:p w14:paraId="2E198307">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5D5D707">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657AC0A2">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7F511E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37F96E9E">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东南区域</w:t>
            </w:r>
          </w:p>
        </w:tc>
        <w:tc>
          <w:tcPr>
            <w:tcW w:w="1947" w:type="dxa"/>
            <w:tcBorders>
              <w:top w:val="single" w:color="auto" w:sz="4" w:space="0"/>
              <w:left w:val="single" w:color="auto" w:sz="4" w:space="0"/>
              <w:bottom w:val="single" w:color="auto" w:sz="4" w:space="0"/>
              <w:right w:val="single" w:color="auto" w:sz="4" w:space="0"/>
            </w:tcBorders>
            <w:vAlign w:val="center"/>
          </w:tcPr>
          <w:p w14:paraId="3BEF632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245B8DCB">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342ADF4">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p>
        </w:tc>
      </w:tr>
      <w:tr w14:paraId="4D13092E">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7B1A311">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19</w:t>
            </w:r>
          </w:p>
        </w:tc>
        <w:tc>
          <w:tcPr>
            <w:tcW w:w="3959" w:type="dxa"/>
            <w:tcBorders>
              <w:top w:val="single" w:color="auto" w:sz="4" w:space="0"/>
              <w:left w:val="single" w:color="auto" w:sz="4" w:space="0"/>
              <w:bottom w:val="single" w:color="auto" w:sz="4" w:space="0"/>
              <w:right w:val="single" w:color="auto" w:sz="4" w:space="0"/>
            </w:tcBorders>
            <w:vAlign w:val="center"/>
          </w:tcPr>
          <w:p w14:paraId="67EE05C3">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其他绿化（</w:t>
            </w:r>
            <w:r>
              <w:rPr>
                <w:rFonts w:hint="eastAsia" w:ascii="仿宋" w:hAnsi="仿宋" w:eastAsia="仿宋" w:cs="仿宋"/>
                <w:b w:val="0"/>
                <w:bCs w:val="0"/>
                <w:color w:val="auto"/>
                <w:sz w:val="24"/>
                <w:szCs w:val="24"/>
                <w:lang w:eastAsia="zh-CN"/>
              </w:rPr>
              <w:t>东大门以南至东南区域草坪东边线</w:t>
            </w:r>
            <w:r>
              <w:rPr>
                <w:rFonts w:hint="eastAsia" w:ascii="仿宋" w:hAnsi="仿宋" w:eastAsia="仿宋" w:cs="仿宋"/>
                <w:b w:val="0"/>
                <w:bCs w:val="0"/>
                <w:color w:val="auto"/>
                <w:sz w:val="24"/>
                <w:szCs w:val="24"/>
              </w:rPr>
              <w:t>）</w:t>
            </w:r>
          </w:p>
        </w:tc>
        <w:tc>
          <w:tcPr>
            <w:tcW w:w="1947" w:type="dxa"/>
            <w:tcBorders>
              <w:top w:val="single" w:color="auto" w:sz="4" w:space="0"/>
              <w:left w:val="single" w:color="auto" w:sz="4" w:space="0"/>
              <w:bottom w:val="single" w:color="auto" w:sz="4" w:space="0"/>
              <w:right w:val="single" w:color="auto" w:sz="4" w:space="0"/>
            </w:tcBorders>
            <w:vAlign w:val="center"/>
          </w:tcPr>
          <w:p w14:paraId="6FD7D2A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38216.75</w:t>
            </w:r>
          </w:p>
        </w:tc>
        <w:tc>
          <w:tcPr>
            <w:tcW w:w="733" w:type="dxa"/>
            <w:tcBorders>
              <w:top w:val="single" w:color="auto" w:sz="4" w:space="0"/>
              <w:left w:val="single" w:color="auto" w:sz="4" w:space="0"/>
              <w:bottom w:val="single" w:color="auto" w:sz="4" w:space="0"/>
              <w:right w:val="single" w:color="auto" w:sz="4" w:space="0"/>
            </w:tcBorders>
            <w:vAlign w:val="center"/>
          </w:tcPr>
          <w:p w14:paraId="4275C6A4">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380DB266">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43D71AEF">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078F80D">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20</w:t>
            </w:r>
          </w:p>
        </w:tc>
        <w:tc>
          <w:tcPr>
            <w:tcW w:w="3959" w:type="dxa"/>
            <w:tcBorders>
              <w:top w:val="single" w:color="auto" w:sz="4" w:space="0"/>
              <w:left w:val="single" w:color="auto" w:sz="4" w:space="0"/>
              <w:bottom w:val="single" w:color="auto" w:sz="4" w:space="0"/>
              <w:right w:val="single" w:color="auto" w:sz="4" w:space="0"/>
            </w:tcBorders>
            <w:vAlign w:val="center"/>
          </w:tcPr>
          <w:p w14:paraId="79BCCF82">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东南区域草坪</w:t>
            </w:r>
          </w:p>
        </w:tc>
        <w:tc>
          <w:tcPr>
            <w:tcW w:w="1947" w:type="dxa"/>
            <w:tcBorders>
              <w:top w:val="single" w:color="auto" w:sz="4" w:space="0"/>
              <w:left w:val="single" w:color="auto" w:sz="4" w:space="0"/>
              <w:bottom w:val="single" w:color="auto" w:sz="4" w:space="0"/>
              <w:right w:val="single" w:color="auto" w:sz="4" w:space="0"/>
            </w:tcBorders>
            <w:vAlign w:val="center"/>
          </w:tcPr>
          <w:p w14:paraId="772F127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11080</w:t>
            </w:r>
          </w:p>
        </w:tc>
        <w:tc>
          <w:tcPr>
            <w:tcW w:w="733" w:type="dxa"/>
            <w:tcBorders>
              <w:top w:val="single" w:color="auto" w:sz="4" w:space="0"/>
              <w:left w:val="single" w:color="auto" w:sz="4" w:space="0"/>
              <w:bottom w:val="single" w:color="auto" w:sz="4" w:space="0"/>
              <w:right w:val="single" w:color="auto" w:sz="4" w:space="0"/>
            </w:tcBorders>
            <w:vAlign w:val="center"/>
          </w:tcPr>
          <w:p w14:paraId="799C9D2E">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9B6EA70">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2496EC9C">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2BA59D7">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21</w:t>
            </w:r>
          </w:p>
        </w:tc>
        <w:tc>
          <w:tcPr>
            <w:tcW w:w="3959" w:type="dxa"/>
            <w:tcBorders>
              <w:top w:val="single" w:color="auto" w:sz="4" w:space="0"/>
              <w:left w:val="single" w:color="auto" w:sz="4" w:space="0"/>
              <w:bottom w:val="single" w:color="auto" w:sz="4" w:space="0"/>
              <w:right w:val="single" w:color="auto" w:sz="4" w:space="0"/>
            </w:tcBorders>
            <w:vAlign w:val="center"/>
          </w:tcPr>
          <w:p w14:paraId="0B1C0EBB">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南大门东侧绿化</w:t>
            </w:r>
          </w:p>
        </w:tc>
        <w:tc>
          <w:tcPr>
            <w:tcW w:w="1947" w:type="dxa"/>
            <w:tcBorders>
              <w:top w:val="single" w:color="auto" w:sz="4" w:space="0"/>
              <w:left w:val="single" w:color="auto" w:sz="4" w:space="0"/>
              <w:bottom w:val="single" w:color="auto" w:sz="4" w:space="0"/>
              <w:right w:val="single" w:color="auto" w:sz="4" w:space="0"/>
            </w:tcBorders>
            <w:vAlign w:val="center"/>
          </w:tcPr>
          <w:p w14:paraId="78D0F90E">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15808.25</w:t>
            </w:r>
          </w:p>
        </w:tc>
        <w:tc>
          <w:tcPr>
            <w:tcW w:w="733" w:type="dxa"/>
            <w:tcBorders>
              <w:top w:val="single" w:color="auto" w:sz="4" w:space="0"/>
              <w:left w:val="single" w:color="auto" w:sz="4" w:space="0"/>
              <w:bottom w:val="single" w:color="auto" w:sz="4" w:space="0"/>
              <w:right w:val="single" w:color="auto" w:sz="4" w:space="0"/>
            </w:tcBorders>
            <w:vAlign w:val="center"/>
          </w:tcPr>
          <w:p w14:paraId="3DFEA342">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16E0D06">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6D84844B">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82A3A18">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3959" w:type="dxa"/>
            <w:tcBorders>
              <w:top w:val="single" w:color="auto" w:sz="4" w:space="0"/>
              <w:left w:val="single" w:color="auto" w:sz="4" w:space="0"/>
              <w:bottom w:val="single" w:color="auto" w:sz="4" w:space="0"/>
              <w:right w:val="single" w:color="auto" w:sz="4" w:space="0"/>
            </w:tcBorders>
            <w:vAlign w:val="center"/>
          </w:tcPr>
          <w:p w14:paraId="2CCB25F0">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小计</w:t>
            </w:r>
          </w:p>
        </w:tc>
        <w:tc>
          <w:tcPr>
            <w:tcW w:w="1947" w:type="dxa"/>
            <w:tcBorders>
              <w:top w:val="single" w:color="auto" w:sz="4" w:space="0"/>
              <w:left w:val="single" w:color="auto" w:sz="4" w:space="0"/>
              <w:bottom w:val="single" w:color="auto" w:sz="4" w:space="0"/>
              <w:right w:val="single" w:color="auto" w:sz="4" w:space="0"/>
            </w:tcBorders>
            <w:vAlign w:val="center"/>
          </w:tcPr>
          <w:p w14:paraId="0AD23B59">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65105</w:t>
            </w:r>
          </w:p>
        </w:tc>
        <w:tc>
          <w:tcPr>
            <w:tcW w:w="733" w:type="dxa"/>
            <w:tcBorders>
              <w:top w:val="single" w:color="auto" w:sz="4" w:space="0"/>
              <w:left w:val="single" w:color="auto" w:sz="4" w:space="0"/>
              <w:bottom w:val="single" w:color="auto" w:sz="4" w:space="0"/>
              <w:right w:val="single" w:color="auto" w:sz="4" w:space="0"/>
            </w:tcBorders>
            <w:vAlign w:val="center"/>
          </w:tcPr>
          <w:p w14:paraId="55EC6C1F">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6064F6CB">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rPr>
            </w:pPr>
          </w:p>
        </w:tc>
      </w:tr>
      <w:tr w14:paraId="4CF0943B">
        <w:tblPrEx>
          <w:tblCellMar>
            <w:top w:w="0" w:type="dxa"/>
            <w:left w:w="108" w:type="dxa"/>
            <w:bottom w:w="0" w:type="dxa"/>
            <w:right w:w="108" w:type="dxa"/>
          </w:tblCellMar>
        </w:tblPrEx>
        <w:trPr>
          <w:trHeight w:val="45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E0B1D6C">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22</w:t>
            </w:r>
          </w:p>
        </w:tc>
        <w:tc>
          <w:tcPr>
            <w:tcW w:w="3959" w:type="dxa"/>
            <w:tcBorders>
              <w:top w:val="single" w:color="auto" w:sz="4" w:space="0"/>
              <w:left w:val="single" w:color="auto" w:sz="4" w:space="0"/>
              <w:bottom w:val="single" w:color="auto" w:sz="4" w:space="0"/>
              <w:right w:val="single" w:color="auto" w:sz="4" w:space="0"/>
            </w:tcBorders>
            <w:vAlign w:val="center"/>
          </w:tcPr>
          <w:p w14:paraId="659032BF">
            <w:pPr>
              <w:pageBreakBefore w:val="0"/>
              <w:kinsoku/>
              <w:wordWrap/>
              <w:overflowPunct/>
              <w:topLinePunct w:val="0"/>
              <w:bidi w:val="0"/>
              <w:spacing w:line="360" w:lineRule="auto"/>
              <w:ind w:left="0" w:leftChars="0" w:right="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教职工活动中心</w:t>
            </w:r>
            <w:r>
              <w:rPr>
                <w:rFonts w:hint="eastAsia" w:ascii="仿宋" w:hAnsi="仿宋" w:eastAsia="仿宋" w:cs="仿宋"/>
                <w:b w:val="0"/>
                <w:bCs w:val="0"/>
                <w:color w:val="auto"/>
                <w:sz w:val="24"/>
                <w:szCs w:val="24"/>
                <w:lang w:eastAsia="zh-CN"/>
              </w:rPr>
              <w:t>绿化及室外保洁</w:t>
            </w:r>
          </w:p>
        </w:tc>
        <w:tc>
          <w:tcPr>
            <w:tcW w:w="1947" w:type="dxa"/>
            <w:tcBorders>
              <w:top w:val="single" w:color="auto" w:sz="4" w:space="0"/>
              <w:left w:val="single" w:color="auto" w:sz="4" w:space="0"/>
              <w:bottom w:val="single" w:color="auto" w:sz="4" w:space="0"/>
              <w:right w:val="single" w:color="auto" w:sz="4" w:space="0"/>
            </w:tcBorders>
            <w:vAlign w:val="center"/>
          </w:tcPr>
          <w:p w14:paraId="79E6FF20">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0CD62F7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7950E48D">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r w14:paraId="14DF0089">
        <w:tblPrEx>
          <w:tblCellMar>
            <w:top w:w="0" w:type="dxa"/>
            <w:left w:w="108" w:type="dxa"/>
            <w:bottom w:w="0" w:type="dxa"/>
            <w:right w:w="108" w:type="dxa"/>
          </w:tblCellMar>
        </w:tblPrEx>
        <w:trPr>
          <w:trHeight w:val="454" w:hRule="atLeast"/>
          <w:jc w:val="center"/>
        </w:trPr>
        <w:tc>
          <w:tcPr>
            <w:tcW w:w="4685" w:type="dxa"/>
            <w:gridSpan w:val="2"/>
            <w:tcBorders>
              <w:top w:val="single" w:color="auto" w:sz="4" w:space="0"/>
              <w:left w:val="single" w:color="auto" w:sz="4" w:space="0"/>
              <w:bottom w:val="single" w:color="auto" w:sz="4" w:space="0"/>
              <w:right w:val="single" w:color="auto" w:sz="4" w:space="0"/>
            </w:tcBorders>
            <w:vAlign w:val="center"/>
          </w:tcPr>
          <w:p w14:paraId="7A823925">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总计</w:t>
            </w:r>
          </w:p>
        </w:tc>
        <w:tc>
          <w:tcPr>
            <w:tcW w:w="1947" w:type="dxa"/>
            <w:tcBorders>
              <w:top w:val="single" w:color="auto" w:sz="4" w:space="0"/>
              <w:left w:val="single" w:color="auto" w:sz="4" w:space="0"/>
              <w:bottom w:val="single" w:color="auto" w:sz="4" w:space="0"/>
              <w:right w:val="single" w:color="auto" w:sz="4" w:space="0"/>
            </w:tcBorders>
            <w:vAlign w:val="center"/>
          </w:tcPr>
          <w:p w14:paraId="12CFBFB3">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334304.17</w:t>
            </w:r>
          </w:p>
        </w:tc>
        <w:tc>
          <w:tcPr>
            <w:tcW w:w="733" w:type="dxa"/>
            <w:tcBorders>
              <w:top w:val="single" w:color="auto" w:sz="4" w:space="0"/>
              <w:left w:val="single" w:color="auto" w:sz="4" w:space="0"/>
              <w:bottom w:val="single" w:color="auto" w:sz="4" w:space="0"/>
              <w:right w:val="single" w:color="auto" w:sz="4" w:space="0"/>
            </w:tcBorders>
            <w:vAlign w:val="center"/>
          </w:tcPr>
          <w:p w14:paraId="49B7550A">
            <w:pPr>
              <w:pageBreakBefore w:val="0"/>
              <w:kinsoku/>
              <w:wordWrap/>
              <w:overflowPunct/>
              <w:topLinePunct w:val="0"/>
              <w:bidi w:val="0"/>
              <w:spacing w:line="360" w:lineRule="auto"/>
              <w:ind w:left="0" w:leftChars="0" w:right="0"/>
              <w:jc w:val="center"/>
              <w:rPr>
                <w:rFonts w:hint="eastAsia" w:ascii="仿宋" w:hAnsi="仿宋" w:eastAsia="仿宋" w:cs="仿宋"/>
                <w:b w:val="0"/>
                <w:bCs w:val="0"/>
                <w:color w:val="auto"/>
                <w:sz w:val="24"/>
                <w:szCs w:val="24"/>
                <w:lang w:val="en-US" w:eastAsia="zh-CN"/>
              </w:rPr>
            </w:pPr>
          </w:p>
        </w:tc>
        <w:tc>
          <w:tcPr>
            <w:tcW w:w="1706" w:type="dxa"/>
            <w:tcBorders>
              <w:top w:val="single" w:color="auto" w:sz="4" w:space="0"/>
              <w:left w:val="single" w:color="auto" w:sz="4" w:space="0"/>
              <w:bottom w:val="single" w:color="auto" w:sz="4" w:space="0"/>
              <w:right w:val="single" w:color="auto" w:sz="4" w:space="0"/>
            </w:tcBorders>
            <w:vAlign w:val="center"/>
          </w:tcPr>
          <w:p w14:paraId="12CAFCAA">
            <w:pPr>
              <w:pageBreakBefore w:val="0"/>
              <w:kinsoku/>
              <w:wordWrap/>
              <w:overflowPunct/>
              <w:topLinePunct w:val="0"/>
              <w:bidi w:val="0"/>
              <w:spacing w:line="360" w:lineRule="auto"/>
              <w:ind w:left="0" w:leftChars="0" w:right="0"/>
              <w:jc w:val="right"/>
              <w:rPr>
                <w:rFonts w:hint="eastAsia" w:ascii="仿宋" w:hAnsi="仿宋" w:eastAsia="仿宋" w:cs="仿宋"/>
                <w:b w:val="0"/>
                <w:bCs w:val="0"/>
                <w:color w:val="auto"/>
                <w:sz w:val="24"/>
                <w:szCs w:val="24"/>
                <w:lang w:val="en-US" w:eastAsia="zh-CN"/>
              </w:rPr>
            </w:pPr>
          </w:p>
        </w:tc>
      </w:tr>
    </w:tbl>
    <w:p w14:paraId="45AC45A7">
      <w:pPr>
        <w:pageBreakBefore w:val="0"/>
        <w:kinsoku/>
        <w:wordWrap/>
        <w:overflowPunct/>
        <w:topLinePunct w:val="0"/>
        <w:bidi w:val="0"/>
        <w:spacing w:line="360" w:lineRule="auto"/>
        <w:ind w:left="0" w:leftChars="0" w:right="0"/>
        <w:rPr>
          <w:rFonts w:hint="eastAsia" w:ascii="仿宋" w:hAnsi="仿宋" w:eastAsia="仿宋" w:cs="仿宋"/>
          <w:color w:val="auto"/>
          <w:sz w:val="28"/>
          <w:szCs w:val="28"/>
        </w:rPr>
      </w:pPr>
      <w:r>
        <w:rPr>
          <w:rFonts w:hint="eastAsia" w:ascii="仿宋" w:hAnsi="仿宋" w:eastAsia="仿宋" w:cs="仿宋"/>
          <w:color w:val="auto"/>
          <w:sz w:val="28"/>
          <w:szCs w:val="28"/>
        </w:rPr>
        <w:t>注：投标</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可实地勘察。</w:t>
      </w:r>
    </w:p>
    <w:p w14:paraId="4AAF4267">
      <w:pPr>
        <w:pStyle w:val="8"/>
        <w:pageBreakBefore w:val="0"/>
        <w:tabs>
          <w:tab w:val="left" w:pos="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服务标准及质量要求</w:t>
      </w:r>
    </w:p>
    <w:p w14:paraId="5659704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在采购人提出的绿化养护服务标准和质量标准的基础上</w:t>
      </w:r>
      <w:r>
        <w:rPr>
          <w:rFonts w:hint="eastAsia" w:ascii="仿宋" w:hAnsi="仿宋" w:eastAsia="仿宋" w:cs="仿宋"/>
          <w:bCs/>
          <w:color w:val="auto"/>
          <w:sz w:val="28"/>
          <w:szCs w:val="28"/>
        </w:rPr>
        <w:t>，由供应商提供规范化的绿化养护服务标准、服务质量控制标准和服务评价与改进标准。详细的质量标准参照中华人民共和国住房和城乡建设部公告</w:t>
      </w:r>
      <w:bookmarkStart w:id="567" w:name="OLE_LINK9"/>
      <w:r>
        <w:rPr>
          <w:rFonts w:hint="eastAsia" w:ascii="仿宋" w:hAnsi="仿宋" w:eastAsia="仿宋" w:cs="仿宋"/>
          <w:bCs/>
          <w:color w:val="auto"/>
          <w:sz w:val="28"/>
          <w:szCs w:val="28"/>
        </w:rPr>
        <w:t>2018年第268号文件</w:t>
      </w:r>
      <w:bookmarkEnd w:id="567"/>
      <w:r>
        <w:rPr>
          <w:rFonts w:hint="eastAsia" w:ascii="仿宋" w:hAnsi="仿宋" w:eastAsia="仿宋" w:cs="仿宋"/>
          <w:bCs/>
          <w:color w:val="auto"/>
          <w:sz w:val="28"/>
          <w:szCs w:val="28"/>
        </w:rPr>
        <w:t>园林绿化养护</w:t>
      </w:r>
      <w:r>
        <w:rPr>
          <w:rFonts w:hint="eastAsia" w:ascii="仿宋" w:hAnsi="仿宋" w:eastAsia="仿宋" w:cs="仿宋"/>
          <w:bCs/>
          <w:color w:val="auto"/>
          <w:sz w:val="28"/>
          <w:szCs w:val="28"/>
          <w:lang w:eastAsia="zh-CN"/>
        </w:rPr>
        <w:t>标准和</w:t>
      </w:r>
      <w:bookmarkStart w:id="568" w:name="OLE_LINK5"/>
      <w:r>
        <w:rPr>
          <w:rFonts w:hint="eastAsia" w:ascii="仿宋" w:hAnsi="仿宋" w:eastAsia="仿宋" w:cs="仿宋"/>
          <w:bCs/>
          <w:color w:val="auto"/>
          <w:sz w:val="28"/>
          <w:szCs w:val="28"/>
          <w:lang w:eastAsia="zh-CN"/>
        </w:rPr>
        <w:t>《</w:t>
      </w:r>
      <w:bookmarkStart w:id="569" w:name="OLE_LINK2"/>
      <w:bookmarkStart w:id="570" w:name="OLE_LINK1"/>
      <w:r>
        <w:rPr>
          <w:rFonts w:hint="eastAsia" w:ascii="仿宋" w:hAnsi="仿宋" w:eastAsia="仿宋" w:cs="仿宋"/>
          <w:bCs/>
          <w:color w:val="auto"/>
          <w:sz w:val="28"/>
          <w:szCs w:val="28"/>
          <w:lang w:eastAsia="zh-CN"/>
        </w:rPr>
        <w:t>河南省城市绿地养护标准</w:t>
      </w:r>
      <w:bookmarkEnd w:id="569"/>
      <w:bookmarkEnd w:id="570"/>
      <w:r>
        <w:rPr>
          <w:rFonts w:hint="eastAsia" w:ascii="仿宋" w:hAnsi="仿宋" w:eastAsia="仿宋" w:cs="仿宋"/>
          <w:bCs/>
          <w:color w:val="auto"/>
          <w:sz w:val="28"/>
          <w:szCs w:val="28"/>
          <w:lang w:eastAsia="zh-CN"/>
        </w:rPr>
        <w:t>》</w:t>
      </w:r>
      <w:bookmarkEnd w:id="568"/>
      <w:r>
        <w:rPr>
          <w:rFonts w:hint="eastAsia" w:ascii="仿宋" w:hAnsi="仿宋" w:eastAsia="仿宋" w:cs="仿宋"/>
          <w:bCs/>
          <w:color w:val="auto"/>
          <w:sz w:val="28"/>
          <w:szCs w:val="28"/>
        </w:rPr>
        <w:t>执行。</w:t>
      </w:r>
    </w:p>
    <w:p w14:paraId="488DFAB4">
      <w:pPr>
        <w:pStyle w:val="17"/>
        <w:pageBreakBefore w:val="0"/>
        <w:widowControl/>
        <w:kinsoku/>
        <w:wordWrap/>
        <w:overflowPunct/>
        <w:topLinePunct w:val="0"/>
        <w:bidi w:val="0"/>
        <w:spacing w:line="360" w:lineRule="auto"/>
        <w:ind w:left="0" w:leftChars="0" w:right="0"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校园绿化服务标准及质量要求详表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957"/>
      </w:tblGrid>
      <w:tr w14:paraId="2670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2DA6A89F">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w:t>
            </w:r>
          </w:p>
        </w:tc>
        <w:tc>
          <w:tcPr>
            <w:tcW w:w="8291" w:type="dxa"/>
            <w:vAlign w:val="center"/>
          </w:tcPr>
          <w:p w14:paraId="6017390F">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服务标准</w:t>
            </w:r>
          </w:p>
        </w:tc>
      </w:tr>
      <w:tr w14:paraId="33A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685D4B8F">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p>
          <w:p w14:paraId="02EA33E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乔木（含行道树）</w:t>
            </w:r>
          </w:p>
        </w:tc>
        <w:tc>
          <w:tcPr>
            <w:tcW w:w="8291" w:type="dxa"/>
          </w:tcPr>
          <w:p w14:paraId="5673527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1.树形优美，树冠丰满，无偏冠现象；树木保存率在99%以上；行道树林冠线基本一致，分枝点高度基本统一、规格相当。</w:t>
            </w:r>
          </w:p>
          <w:p w14:paraId="14CC6CE4">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每年修剪不少于1次，强度适宜，疏密得当，主侧枝条分布匀称；抹芽及时；修剪枯死枝、内膛乱枝、交叉枝、平行枝、衰弱枝、劈裂枝、病虫枝等影响树形树势的枝条，修除率在90%以上；剪口、锯口平滑，涂敷得当。</w:t>
            </w:r>
          </w:p>
          <w:p w14:paraId="0D17C969">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.根据季节和生长情况适时浇灌、排水、施肥，每年施肥次数不少于3次（有机肥至少一次）；施肥种类适宜，方法科学，无缺施、无肥害。</w:t>
            </w:r>
          </w:p>
          <w:p w14:paraId="3B829AD2">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.植株无严重的有害生物危害状，单株受害率不超过15%，受害株率不超过10%。</w:t>
            </w:r>
          </w:p>
          <w:p w14:paraId="6D69047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.树穴内基本无杂草危害，保持透水透气。</w:t>
            </w:r>
          </w:p>
          <w:p w14:paraId="0488E58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.及时去除死株，种植季节30日内完成补植，补植树与原树种规格一致，按照《园林绿化工程施工及验收规范》(CJJ82-2012)操作。</w:t>
            </w:r>
          </w:p>
          <w:p w14:paraId="37105C2E">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.树穴内基本无生活垃圾；树干基本上无违法悬挂物、无树挂。</w:t>
            </w:r>
          </w:p>
        </w:tc>
      </w:tr>
      <w:tr w14:paraId="36D3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3DCAF77F">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灌木</w:t>
            </w:r>
          </w:p>
        </w:tc>
        <w:tc>
          <w:tcPr>
            <w:tcW w:w="8291" w:type="dxa"/>
          </w:tcPr>
          <w:p w14:paraId="42CD49D8">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1.树冠完整，枝条分布基本匀称，数量适宜；树木保存率在98%以上。</w:t>
            </w:r>
          </w:p>
          <w:p w14:paraId="0D12BF5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2.生长正常，枝壮叶茂，叶色正常；无明显枯死枝，无明显生长期非正常落叶；开花树种开花正常。</w:t>
            </w:r>
          </w:p>
          <w:p w14:paraId="06CAFEE6">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3.修剪每年不少于1次，剪口平滑，不留杈口，芽长势饱满；枯死枝、内膛乱枝、病虫枝等影响树势、树形的枝条修除率在98%以上。影响树势、树形的萌芽、萌蘖及时抹除，抹芽率在98%以上。</w:t>
            </w:r>
          </w:p>
          <w:p w14:paraId="4B294D34">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4.每年施肥不少于3次（有机肥不少于1次），肥料种类适宜，方法科学，无缺施、无肥害。</w:t>
            </w:r>
          </w:p>
          <w:p w14:paraId="1AFDCBBD">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5.依据生长季节、天气、植物种类、立地条件科学浇灌，无明显旱相；雨后及时排涝、排湿，积水不超过48h。</w:t>
            </w:r>
          </w:p>
          <w:p w14:paraId="109C19B8">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6.病虫害防控及时，无明显病症、害虫，单株受害率控制在8%以内；生物防治率在40%以上。</w:t>
            </w:r>
          </w:p>
          <w:p w14:paraId="272D0522">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7.松土除草比较及时，基本无明显杂草危害。</w:t>
            </w:r>
          </w:p>
          <w:p w14:paraId="291E5ACE">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8.及时去除死株，种植季节在30日内完成补植；补植树种同原树种，规格基本一致。</w:t>
            </w:r>
          </w:p>
        </w:tc>
      </w:tr>
      <w:tr w14:paraId="448F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534BCF3C">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p>
          <w:p w14:paraId="0887EF8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整形</w:t>
            </w:r>
          </w:p>
          <w:p w14:paraId="37AB00E9">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植物</w:t>
            </w:r>
          </w:p>
        </w:tc>
        <w:tc>
          <w:tcPr>
            <w:tcW w:w="8291" w:type="dxa"/>
          </w:tcPr>
          <w:p w14:paraId="4A2CEA6D">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1.规则式整形植物轮廓清楚，顶面平整，高度基本一致，基本满足设计要求，无明显缺株断垄，开花期基本一致。造型植物枝叶茂密，形体美观，轮廓清楚，不露捆扎物。</w:t>
            </w:r>
          </w:p>
          <w:p w14:paraId="33BCBA08">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2.植株生长正常。</w:t>
            </w:r>
          </w:p>
          <w:p w14:paraId="64CE1996">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3.规则式整形植物修剪保持3面以上基本平整，每年修剪应不少于6次；造型植物每年修剪应不少于6次。</w:t>
            </w:r>
          </w:p>
          <w:p w14:paraId="0ADC76D2">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4.无明显的病虫危害症状，病虫危害率应控制在10%以下，无明显杂草。</w:t>
            </w:r>
          </w:p>
          <w:p w14:paraId="7FBE3C87">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5.每年浇灌不少于15次，植物不得出现明显失水萎蔫现象。</w:t>
            </w:r>
          </w:p>
          <w:p w14:paraId="0C30179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6.施肥每年不少于3次，其中有机肥不少于1次，花篱花芽分化后应追施磷肥、钾肥。</w:t>
            </w:r>
          </w:p>
          <w:p w14:paraId="6826247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.松土除草每年应不少于6次。</w:t>
            </w:r>
          </w:p>
        </w:tc>
      </w:tr>
      <w:tr w14:paraId="4442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7ACFFFA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p>
          <w:p w14:paraId="353EE27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草坪和地被植物</w:t>
            </w:r>
          </w:p>
        </w:tc>
        <w:tc>
          <w:tcPr>
            <w:tcW w:w="8291" w:type="dxa"/>
          </w:tcPr>
          <w:p w14:paraId="0CE22F8B">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1.草坪成坪高度保持在10cm以内，基本平整。地被种植密度合理，植株规格相当。单品种草坪纯度95%以上，人为践踏及时恢复。</w:t>
            </w:r>
          </w:p>
          <w:p w14:paraId="63FC5A3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2.长势正常，无大于0.5m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集中斑秃，覆盖率98%。生长期无明显黄叶、焦叶、卷叶等。</w:t>
            </w:r>
          </w:p>
          <w:p w14:paraId="5D304676">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3.暖季型草坪每年修剪不少于3次，冷季型草坪每年修剪不少于13次。</w:t>
            </w:r>
          </w:p>
          <w:p w14:paraId="2DA58B57">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4.暖季型草坪、地被每年施肥不少于3次，冷季型草坪每年施肥不少于6次。无缺施</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肥害。</w:t>
            </w:r>
          </w:p>
          <w:p w14:paraId="02BB580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5.适时浇灌，无失水萎蔫现象。排灌系统完好，雨后2h内无积水。</w:t>
            </w:r>
          </w:p>
          <w:p w14:paraId="28D6BE31">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6.对被破坏或其他原因引起死亡的草坪、地被应在15日内完成补植，使其保持完整。采用同品种补植，疏密适度，保证补植后1个月内覆盖率达95%。</w:t>
            </w:r>
          </w:p>
          <w:p w14:paraId="4F08FDCA">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7.草坪打孔、疏草，冷季型每年不少于2次，暖季型每年不少于1次。</w:t>
            </w:r>
          </w:p>
          <w:p w14:paraId="569F341E">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8.杂草要及时清除，保持草坪纯度，使用除草剂应慎重，</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报主管部门同意，先试验，再应用。杂草过多又无法除去时，或草坪已不适应环境时，应及时更新或重建。</w:t>
            </w:r>
          </w:p>
          <w:p w14:paraId="103F8522">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9.病虫危害率控制在15%以内，杂草率控制在5%以下。</w:t>
            </w:r>
          </w:p>
        </w:tc>
      </w:tr>
      <w:tr w14:paraId="221D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121F945B">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竹类</w:t>
            </w:r>
          </w:p>
          <w:p w14:paraId="2B6099ED">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植物</w:t>
            </w:r>
          </w:p>
        </w:tc>
        <w:tc>
          <w:tcPr>
            <w:tcW w:w="8291" w:type="dxa"/>
          </w:tcPr>
          <w:p w14:paraId="69264A4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1.生长正常，无枯死枝叶。</w:t>
            </w:r>
          </w:p>
          <w:p w14:paraId="138C7CD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2.散生竹挺拔俊秀，丛生竹紧凑优美。</w:t>
            </w:r>
          </w:p>
          <w:p w14:paraId="0BC97C7A">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竹林密度基本适中，分布基本均匀，通风透光；无枯死竹，无开花竹，断竹、倒伏竹不得超过2%，且清理及时；残蔸不得超过10%。竹龄组成宜达到：1-3年竹40%，4-6年竹45%以上，6-10年竹15%以下，10年以止老竹不得超过1%，主要养空。</w:t>
            </w:r>
          </w:p>
          <w:p w14:paraId="477DB1C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土壤基本疏松、湿润。每5年深翻、断鞭1次，深翻时清除老鞭、枯死鞭；每2年施肥应不少于1次，以有机肥为主；水分保证生长需要，每年浇灌应不少于6次；每年修剪、除草各应不少于1次。病虫株率控制在6%以内，生物防治率达50%以上，踩路不明显。</w:t>
            </w:r>
          </w:p>
        </w:tc>
      </w:tr>
      <w:tr w14:paraId="3821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7532FC31">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藤本</w:t>
            </w:r>
          </w:p>
          <w:p w14:paraId="61250534">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植物</w:t>
            </w:r>
          </w:p>
        </w:tc>
        <w:tc>
          <w:tcPr>
            <w:tcW w:w="8291" w:type="dxa"/>
          </w:tcPr>
          <w:p w14:paraId="7D5663D0">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1.形态优美，枝条分布勾称，疏密得当；覆盖率在85%以上，保存率在90%以上。</w:t>
            </w:r>
          </w:p>
          <w:p w14:paraId="261A497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2.生长健壮、藤繁叶茂，叶色正常；无明显枯死枝，无明显非正常落叶；开花树种开花正常。</w:t>
            </w:r>
          </w:p>
          <w:p w14:paraId="375AD527">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3.每年修剪不少于1次，及时剪除徒长枝、下垂枝、枯枝、老弱藤蔓；每3年应理藤1次，藤蔓分布均匀，厚度适当。</w:t>
            </w:r>
          </w:p>
          <w:p w14:paraId="59D8AFE4">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4.每年施肥不少于1次；肥料种类适宜，方法合理；无缺施、无肥害。</w:t>
            </w:r>
          </w:p>
          <w:p w14:paraId="7B5B1E98">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5.依据生长季节、天气、植物种类、立地条件恰当浇灌，无明显旱相；雨后及时排涝、排湿，积水不超过24h。</w:t>
            </w:r>
          </w:p>
          <w:p w14:paraId="29903C9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6.病虫害防治及时，无明显病症害虫，单株受害率控制在8%以内；生物防治率达40%以上。</w:t>
            </w:r>
          </w:p>
          <w:p w14:paraId="506C492D">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7.松土除草及时，无明显杂草危害。</w:t>
            </w:r>
          </w:p>
          <w:p w14:paraId="464B8EA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8.及时去除死株，种植季节内完成补植；补植树种同原品种规格基本一致。</w:t>
            </w:r>
          </w:p>
        </w:tc>
      </w:tr>
      <w:tr w14:paraId="325A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742DC0C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水生</w:t>
            </w:r>
          </w:p>
          <w:p w14:paraId="777200F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植物</w:t>
            </w:r>
          </w:p>
        </w:tc>
        <w:tc>
          <w:tcPr>
            <w:tcW w:w="8291" w:type="dxa"/>
          </w:tcPr>
          <w:p w14:paraId="3E4F0331">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1.生长正常。</w:t>
            </w:r>
          </w:p>
          <w:p w14:paraId="3571BEB2">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株形优美，叶色无异样；开花正常，花色艳丽，残花败梗不得超过2%；病虫株率不得超过5%，且防治及时；无腐株腐叶，枯株枯叶不得超过10%，基本无杂草，修剪产生的枯枝残叶随产随清，不留污迹。片栽分布基本均匀，密度基本适中，通风采光基本良好。</w:t>
            </w:r>
          </w:p>
          <w:p w14:paraId="56299EE4">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3.盆裁每年补水应不少于6次，塘栽每年补水应不少于2次。</w:t>
            </w:r>
          </w:p>
          <w:p w14:paraId="2BF232F7">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4.盆栽应每3年换土施肥1次，塘栽应每5年改善土壤并施肥1次，以施有机肥为主。</w:t>
            </w:r>
          </w:p>
          <w:p w14:paraId="4226707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5.易受冻害的盆栽水生植物冬季应采取防寒措施。</w:t>
            </w:r>
          </w:p>
        </w:tc>
      </w:tr>
      <w:tr w14:paraId="7903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40C98A7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一二年生草花</w:t>
            </w:r>
          </w:p>
        </w:tc>
        <w:tc>
          <w:tcPr>
            <w:tcW w:w="8291" w:type="dxa"/>
          </w:tcPr>
          <w:p w14:paraId="03D11F13">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1.搭配基本合理，色彩一致，株行距适宜，基本无残梗败花，管理基本到位，有美化效果。</w:t>
            </w:r>
          </w:p>
          <w:p w14:paraId="5EA9784D">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2.植株生长较正常，株型基本一致。开花植物正常开花。</w:t>
            </w:r>
          </w:p>
          <w:p w14:paraId="5985CBF1">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3.根据天气情况及草花生长习性进行施肥和浇灌，每年浇水应不少于18次。每年施肥应不少于6次，其中施有机肥应不少于1次，施肥种类基本适宜。</w:t>
            </w:r>
          </w:p>
          <w:p w14:paraId="48B9F7EA">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4.栽植高低基本一致，疏密基本均匀。定期修剪残梗败花，按时补植更新，根据草花种类每年更新次数应不少于2次。</w:t>
            </w:r>
          </w:p>
          <w:p w14:paraId="5C5B3A3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5.及时进行病虫防治，病虫危害率在90%以上，基本无杂草。</w:t>
            </w:r>
          </w:p>
          <w:p w14:paraId="3749860F">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6.草花株丛内外基本完好，无较明显垃圾及生活废弃物。</w:t>
            </w:r>
          </w:p>
          <w:p w14:paraId="69C1C1E1">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7.及时在雨后或浇后松土除草，每年应不少于18次。</w:t>
            </w:r>
          </w:p>
        </w:tc>
      </w:tr>
      <w:tr w14:paraId="4EE3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58EC658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景观</w:t>
            </w:r>
          </w:p>
          <w:p w14:paraId="43E13B6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水体</w:t>
            </w:r>
          </w:p>
        </w:tc>
        <w:tc>
          <w:tcPr>
            <w:tcW w:w="8291" w:type="dxa"/>
          </w:tcPr>
          <w:p w14:paraId="44AD29A8">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1.景观水体应保持水位正常，水质清澈，无污物，无异味。</w:t>
            </w:r>
          </w:p>
          <w:p w14:paraId="4906C0AF">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.防护设施和安全警示齐全。</w:t>
            </w:r>
          </w:p>
          <w:p w14:paraId="4866A899">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.及时打捞水面漂浮杂物、清除水里杂物。</w:t>
            </w:r>
          </w:p>
        </w:tc>
      </w:tr>
      <w:tr w14:paraId="4BA9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0" w:type="dxa"/>
            <w:vAlign w:val="center"/>
          </w:tcPr>
          <w:p w14:paraId="664367B1">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绿地</w:t>
            </w:r>
          </w:p>
          <w:p w14:paraId="5A8DBC40">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管理</w:t>
            </w:r>
          </w:p>
        </w:tc>
        <w:tc>
          <w:tcPr>
            <w:tcW w:w="8291" w:type="dxa"/>
          </w:tcPr>
          <w:p w14:paraId="7F6A6875">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1.绿地整洁，清理并清除影响景观的杂物、树挂、干枯枝叶、人畜粪便、乱停乱放等。</w:t>
            </w:r>
          </w:p>
          <w:p w14:paraId="7A501F94">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2.绿地每日巡查不少于2次，建立巡查台账，编制巡查日志。</w:t>
            </w:r>
          </w:p>
          <w:p w14:paraId="60DEC6C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3.保持校园空地绿化全覆盖。每年至少打草六次以上；</w:t>
            </w:r>
          </w:p>
          <w:p w14:paraId="22DD6B33">
            <w:pPr>
              <w:pStyle w:val="19"/>
              <w:pageBreakBefore w:val="0"/>
              <w:kinsoku/>
              <w:wordWrap/>
              <w:overflowPunct/>
              <w:topLinePunct w:val="0"/>
              <w:bidi w:val="0"/>
              <w:spacing w:line="360" w:lineRule="auto"/>
              <w:ind w:left="0" w:leftChars="0" w:right="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4.垃圾不得随意倾倒，应倒入指定地点（垃圾中转站），严禁焚烧，生产垃圾日产日清。</w:t>
            </w:r>
          </w:p>
          <w:p w14:paraId="2391695C">
            <w:pPr>
              <w:pageBreakBefore w:val="0"/>
              <w:tabs>
                <w:tab w:val="left" w:pos="424"/>
              </w:tabs>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无种菜现象；</w:t>
            </w:r>
          </w:p>
          <w:p w14:paraId="23F83F37">
            <w:pPr>
              <w:pageBreakBefore w:val="0"/>
              <w:kinsoku/>
              <w:wordWrap/>
              <w:overflowPunct/>
              <w:topLinePunct w:val="0"/>
              <w:bidi w:val="0"/>
              <w:spacing w:line="360" w:lineRule="auto"/>
              <w:ind w:left="0" w:leftChars="0" w:right="0"/>
              <w:rPr>
                <w:rFonts w:hint="eastAsia" w:ascii="仿宋" w:hAnsi="仿宋" w:eastAsia="仿宋" w:cs="仿宋"/>
                <w:color w:val="auto"/>
                <w:sz w:val="24"/>
                <w:szCs w:val="24"/>
              </w:rPr>
            </w:pPr>
            <w:r>
              <w:rPr>
                <w:rFonts w:hint="eastAsia" w:ascii="仿宋" w:hAnsi="仿宋" w:eastAsia="仿宋" w:cs="仿宋"/>
                <w:color w:val="auto"/>
                <w:sz w:val="24"/>
                <w:szCs w:val="24"/>
              </w:rPr>
              <w:t>5.未经学校批准，绿地、空地不得用于其它用途，不得兴建任何设施。</w:t>
            </w:r>
          </w:p>
        </w:tc>
      </w:tr>
    </w:tbl>
    <w:p w14:paraId="02820B19">
      <w:pPr>
        <w:pStyle w:val="190"/>
        <w:pageBreakBefore w:val="0"/>
        <w:widowControl w:val="0"/>
        <w:kinsoku/>
        <w:wordWrap/>
        <w:overflowPunct/>
        <w:topLinePunct w:val="0"/>
        <w:autoSpaceDE/>
        <w:autoSpaceDN/>
        <w:bidi w:val="0"/>
        <w:adjustRightInd/>
        <w:snapToGrid/>
        <w:spacing w:line="360" w:lineRule="auto"/>
        <w:ind w:left="0" w:leftChars="0" w:right="0" w:firstLine="400"/>
        <w:textAlignment w:val="auto"/>
        <w:rPr>
          <w:rFonts w:hint="eastAsia" w:ascii="仿宋" w:hAnsi="仿宋" w:eastAsia="仿宋" w:cs="仿宋"/>
          <w:b w:val="0"/>
          <w:bCs w:val="0"/>
          <w:color w:val="auto"/>
          <w:sz w:val="28"/>
          <w:szCs w:val="28"/>
        </w:rPr>
      </w:pPr>
      <w:bookmarkStart w:id="571" w:name="OLE_LINK4"/>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.综合管理</w:t>
      </w:r>
    </w:p>
    <w:bookmarkEnd w:id="571"/>
    <w:p w14:paraId="0D54FF5A">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rPr>
        <w:t>（1）</w:t>
      </w:r>
      <w:r>
        <w:rPr>
          <w:rFonts w:hint="eastAsia" w:ascii="仿宋" w:hAnsi="仿宋" w:eastAsia="仿宋" w:cs="仿宋"/>
          <w:color w:val="auto"/>
          <w:sz w:val="28"/>
          <w:szCs w:val="28"/>
          <w:lang w:val="en-US" w:eastAsia="zh-CN"/>
        </w:rPr>
        <w:t>按采购人管理部门要求，绿化养护实施网格化定人定岗管理，供应商在中标1个月内提交网格化管理制度和方案。</w:t>
      </w:r>
    </w:p>
    <w:p w14:paraId="2B9F2C72">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en-US" w:eastAsia="zh-CN"/>
        </w:rPr>
        <w:t>绿化</w:t>
      </w:r>
      <w:r>
        <w:rPr>
          <w:rFonts w:hint="eastAsia" w:ascii="仿宋" w:hAnsi="仿宋" w:eastAsia="仿宋" w:cs="仿宋"/>
          <w:bCs/>
          <w:color w:val="auto"/>
          <w:sz w:val="28"/>
          <w:szCs w:val="28"/>
          <w:lang w:eastAsia="zh-CN"/>
        </w:rPr>
        <w:t>主管</w:t>
      </w:r>
      <w:r>
        <w:rPr>
          <w:rFonts w:hint="eastAsia" w:ascii="仿宋" w:hAnsi="仿宋" w:eastAsia="仿宋" w:cs="仿宋"/>
          <w:bCs/>
          <w:color w:val="auto"/>
          <w:sz w:val="28"/>
          <w:szCs w:val="28"/>
          <w:lang w:val="en-US" w:eastAsia="zh-CN"/>
        </w:rPr>
        <w:t>和花卉园艺技术员需</w:t>
      </w:r>
      <w:r>
        <w:rPr>
          <w:rFonts w:hint="eastAsia" w:ascii="仿宋" w:hAnsi="仿宋" w:eastAsia="仿宋" w:cs="仿宋"/>
          <w:color w:val="auto"/>
          <w:sz w:val="28"/>
          <w:szCs w:val="28"/>
          <w:lang w:val="en-US" w:eastAsia="zh-CN"/>
        </w:rPr>
        <w:t>熟悉风景园林、花卉学、园艺学、植物保护、土壤肥料学等，具有景观设计经验；绿化工</w:t>
      </w:r>
      <w:r>
        <w:rPr>
          <w:rFonts w:hint="eastAsia" w:ascii="仿宋" w:hAnsi="仿宋" w:eastAsia="仿宋" w:cs="仿宋"/>
          <w:bCs/>
          <w:color w:val="auto"/>
          <w:sz w:val="28"/>
          <w:szCs w:val="28"/>
        </w:rPr>
        <w:t>熟悉校园整体绿化布局，熟悉花草树木的品种及特征。</w:t>
      </w:r>
    </w:p>
    <w:p w14:paraId="50AFF49A">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eastAsia="zh-CN"/>
        </w:rPr>
        <w:t>（3）供应商每年聘请绿化、园艺相关专家来校对我校绿化工作进行指导</w:t>
      </w:r>
      <w:r>
        <w:rPr>
          <w:rFonts w:hint="eastAsia" w:ascii="仿宋" w:hAnsi="仿宋" w:eastAsia="仿宋" w:cs="仿宋"/>
          <w:bCs/>
          <w:color w:val="auto"/>
          <w:sz w:val="28"/>
          <w:szCs w:val="28"/>
          <w:lang w:val="en-US" w:eastAsia="zh-CN"/>
        </w:rPr>
        <w:t>不</w:t>
      </w:r>
      <w:r>
        <w:rPr>
          <w:rFonts w:hint="eastAsia" w:ascii="仿宋" w:hAnsi="仿宋" w:eastAsia="仿宋" w:cs="仿宋"/>
          <w:bCs/>
          <w:color w:val="auto"/>
          <w:sz w:val="28"/>
          <w:szCs w:val="28"/>
          <w:lang w:eastAsia="zh-CN"/>
        </w:rPr>
        <w:t>少于2次。</w:t>
      </w:r>
    </w:p>
    <w:p w14:paraId="4A9D8C54">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4</w:t>
      </w:r>
      <w:r>
        <w:rPr>
          <w:rFonts w:hint="eastAsia" w:ascii="仿宋" w:hAnsi="仿宋" w:eastAsia="仿宋" w:cs="仿宋"/>
          <w:bCs/>
          <w:color w:val="auto"/>
          <w:sz w:val="28"/>
          <w:szCs w:val="28"/>
        </w:rPr>
        <w:t>）建立绿化养护管理制度和工作标准，建立工作签到制度和工作质量考核制度，有岗位职责和考核办法。</w:t>
      </w:r>
    </w:p>
    <w:p w14:paraId="4BACF270">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5</w:t>
      </w:r>
      <w:r>
        <w:rPr>
          <w:rFonts w:hint="eastAsia" w:ascii="仿宋" w:hAnsi="仿宋" w:eastAsia="仿宋" w:cs="仿宋"/>
          <w:bCs/>
          <w:color w:val="auto"/>
          <w:sz w:val="28"/>
          <w:szCs w:val="28"/>
        </w:rPr>
        <w:t>）有年度、月度工作计划，有巡查并做好巡查记录。</w:t>
      </w:r>
    </w:p>
    <w:p w14:paraId="68569765">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6</w:t>
      </w:r>
      <w:r>
        <w:rPr>
          <w:rFonts w:hint="eastAsia" w:ascii="仿宋" w:hAnsi="仿宋" w:eastAsia="仿宋" w:cs="仿宋"/>
          <w:bCs/>
          <w:color w:val="auto"/>
          <w:sz w:val="28"/>
          <w:szCs w:val="28"/>
        </w:rPr>
        <w:t>）工具设施齐全，定期维护，保证工具完整，工具收纳于指定区域并摆放整齐。</w:t>
      </w:r>
    </w:p>
    <w:p w14:paraId="042C6409">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3.所有植物保持不缺水，做好雨季和日常的培土工作，防止积水。建立完善学校的绿化浇灌系统，</w:t>
      </w:r>
      <w:r>
        <w:rPr>
          <w:rFonts w:hint="eastAsia" w:ascii="仿宋" w:hAnsi="仿宋" w:eastAsia="仿宋" w:cs="仿宋"/>
          <w:bCs/>
          <w:color w:val="auto"/>
          <w:sz w:val="28"/>
          <w:szCs w:val="28"/>
          <w:highlight w:val="none"/>
        </w:rPr>
        <w:t>负责浇灌系统的维修维护，费用由供应商承担。</w:t>
      </w:r>
      <w:r>
        <w:rPr>
          <w:rFonts w:hint="eastAsia" w:ascii="仿宋" w:hAnsi="仿宋" w:eastAsia="仿宋" w:cs="仿宋"/>
          <w:bCs/>
          <w:color w:val="auto"/>
          <w:sz w:val="28"/>
          <w:szCs w:val="28"/>
        </w:rPr>
        <w:t>灌溉水电费用由学校承担。如出现漫灌等浪费水电现象，由供应商按照核定费用赔偿采购人损失。</w:t>
      </w:r>
    </w:p>
    <w:p w14:paraId="0C2FA88E">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4.按采购人管理部门要求，做好树木涂白、防风害等工作，对受损或</w:t>
      </w:r>
      <w:r>
        <w:rPr>
          <w:rFonts w:hint="eastAsia" w:ascii="仿宋" w:hAnsi="仿宋" w:eastAsia="仿宋" w:cs="仿宋"/>
          <w:bCs/>
          <w:color w:val="auto"/>
          <w:sz w:val="28"/>
          <w:szCs w:val="28"/>
          <w:lang w:eastAsia="zh-CN"/>
        </w:rPr>
        <w:t>倾倒</w:t>
      </w:r>
      <w:r>
        <w:rPr>
          <w:rFonts w:hint="eastAsia" w:ascii="仿宋" w:hAnsi="仿宋" w:eastAsia="仿宋" w:cs="仿宋"/>
          <w:bCs/>
          <w:color w:val="auto"/>
          <w:sz w:val="28"/>
          <w:szCs w:val="28"/>
        </w:rPr>
        <w:t>花木及时扶正和局部补苗，相关费用由供应商承担。由于委托人施工造成的损坏补苗费用由委托人承担。</w:t>
      </w:r>
    </w:p>
    <w:p w14:paraId="219E0D64">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根据相关病虫害发生的环境条件及其规律，合理用药施肥，药品质量和施药方案报采购人管理部门审批备案，坚持以“预防为主”的原则进行防治，不得使用高毒及以上的农药，保持花木生长健壮，枝叶茂盛。</w:t>
      </w:r>
    </w:p>
    <w:p w14:paraId="4AC03DA7">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Cs/>
          <w:color w:val="auto"/>
          <w:kern w:val="2"/>
          <w:sz w:val="28"/>
          <w:szCs w:val="28"/>
          <w:lang w:val="en-US" w:eastAsia="zh-CN" w:bidi="ar-SA"/>
        </w:rPr>
        <w:t>6.根</w:t>
      </w:r>
      <w:r>
        <w:rPr>
          <w:rFonts w:hint="eastAsia" w:ascii="仿宋" w:hAnsi="仿宋" w:eastAsia="仿宋" w:cs="仿宋"/>
          <w:color w:val="auto"/>
          <w:sz w:val="28"/>
          <w:szCs w:val="28"/>
          <w:lang w:val="en-US" w:eastAsia="zh-CN"/>
        </w:rPr>
        <w:t>据采购人要求，对长势不佳草坪或地被进行补种，所需种子费用由供应商承担。</w:t>
      </w:r>
    </w:p>
    <w:p w14:paraId="23206949">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rPr>
        <w:t>.根据季节变化或采购人具体要求，</w:t>
      </w:r>
      <w:r>
        <w:rPr>
          <w:rFonts w:hint="eastAsia" w:ascii="仿宋" w:hAnsi="仿宋" w:eastAsia="仿宋" w:cs="仿宋"/>
          <w:bCs/>
          <w:color w:val="auto"/>
          <w:sz w:val="28"/>
          <w:szCs w:val="28"/>
          <w:lang w:eastAsia="zh-CN"/>
        </w:rPr>
        <w:t>进行绿化景观提升改造</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改造内容包括花卉布置与更换、现有绿地改造、新增植物品种等。</w:t>
      </w:r>
      <w:r>
        <w:rPr>
          <w:rFonts w:hint="eastAsia" w:ascii="仿宋" w:hAnsi="仿宋" w:eastAsia="仿宋" w:cs="仿宋"/>
          <w:bCs/>
          <w:color w:val="auto"/>
          <w:sz w:val="28"/>
          <w:szCs w:val="28"/>
          <w:lang w:eastAsia="zh-CN"/>
        </w:rPr>
        <w:t>由供应商出具方案并报主管部门同意</w:t>
      </w:r>
      <w:r>
        <w:rPr>
          <w:rFonts w:hint="eastAsia" w:ascii="仿宋" w:hAnsi="仿宋" w:eastAsia="仿宋" w:cs="仿宋"/>
          <w:bCs/>
          <w:color w:val="auto"/>
          <w:sz w:val="28"/>
          <w:szCs w:val="28"/>
          <w:highlight w:val="none"/>
          <w:lang w:eastAsia="zh-CN"/>
        </w:rPr>
        <w:t>，改造</w:t>
      </w:r>
      <w:r>
        <w:rPr>
          <w:rFonts w:hint="eastAsia" w:ascii="仿宋" w:hAnsi="仿宋" w:eastAsia="仿宋" w:cs="仿宋"/>
          <w:bCs/>
          <w:color w:val="auto"/>
          <w:sz w:val="28"/>
          <w:szCs w:val="28"/>
          <w:highlight w:val="none"/>
          <w:lang w:val="en-US" w:eastAsia="zh-CN"/>
        </w:rPr>
        <w:t>施工</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费用和养护由供应商负责。</w:t>
      </w:r>
    </w:p>
    <w:p w14:paraId="2F6E4CF0">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rPr>
        <w:t>.严禁私自使用消防管网内的水用于绿化，由此造成消防设施损坏需负责维修恢复正常。</w:t>
      </w:r>
    </w:p>
    <w:p w14:paraId="03A4B9FE">
      <w:pPr>
        <w:pageBreakBefore w:val="0"/>
        <w:widowControl w:val="0"/>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.特别约定：在绿化维护过程中，</w:t>
      </w:r>
      <w:r>
        <w:rPr>
          <w:rFonts w:hint="eastAsia" w:ascii="仿宋" w:hAnsi="仿宋" w:eastAsia="仿宋" w:cs="仿宋"/>
          <w:bCs/>
          <w:color w:val="auto"/>
          <w:sz w:val="28"/>
          <w:szCs w:val="28"/>
          <w:lang w:val="en-US" w:eastAsia="zh-CN"/>
        </w:rPr>
        <w:t>因养护不到位造成绿化植物死亡或退化的</w:t>
      </w:r>
      <w:r>
        <w:rPr>
          <w:rFonts w:hint="eastAsia" w:ascii="仿宋" w:hAnsi="仿宋" w:eastAsia="仿宋" w:cs="仿宋"/>
          <w:bCs/>
          <w:color w:val="auto"/>
          <w:sz w:val="28"/>
          <w:szCs w:val="28"/>
        </w:rPr>
        <w:t>，应按照死亡</w:t>
      </w:r>
      <w:r>
        <w:rPr>
          <w:rFonts w:hint="eastAsia" w:ascii="仿宋" w:hAnsi="仿宋" w:eastAsia="仿宋" w:cs="仿宋"/>
          <w:bCs/>
          <w:color w:val="auto"/>
          <w:sz w:val="28"/>
          <w:szCs w:val="28"/>
          <w:lang w:val="en-US" w:eastAsia="zh-CN"/>
        </w:rPr>
        <w:t>或退化</w:t>
      </w:r>
      <w:r>
        <w:rPr>
          <w:rFonts w:hint="eastAsia" w:ascii="仿宋" w:hAnsi="仿宋" w:eastAsia="仿宋" w:cs="仿宋"/>
          <w:bCs/>
          <w:color w:val="auto"/>
          <w:sz w:val="28"/>
          <w:szCs w:val="28"/>
          <w:lang w:eastAsia="zh-CN"/>
        </w:rPr>
        <w:t>植物</w:t>
      </w:r>
      <w:r>
        <w:rPr>
          <w:rFonts w:hint="eastAsia" w:ascii="仿宋" w:hAnsi="仿宋" w:eastAsia="仿宋" w:cs="仿宋"/>
          <w:bCs/>
          <w:color w:val="auto"/>
          <w:sz w:val="28"/>
          <w:szCs w:val="28"/>
        </w:rPr>
        <w:t>的原规格、</w:t>
      </w:r>
      <w:r>
        <w:rPr>
          <w:rFonts w:hint="eastAsia" w:ascii="仿宋" w:hAnsi="仿宋" w:eastAsia="仿宋" w:cs="仿宋"/>
          <w:bCs/>
          <w:color w:val="auto"/>
          <w:sz w:val="28"/>
          <w:szCs w:val="28"/>
          <w:lang w:eastAsia="zh-CN"/>
        </w:rPr>
        <w:t>品种</w:t>
      </w:r>
      <w:r>
        <w:rPr>
          <w:rFonts w:hint="eastAsia" w:ascii="仿宋" w:hAnsi="仿宋" w:eastAsia="仿宋" w:cs="仿宋"/>
          <w:bCs/>
          <w:color w:val="auto"/>
          <w:sz w:val="28"/>
          <w:szCs w:val="28"/>
        </w:rPr>
        <w:t>进行赔偿或补种。因养护不当，造成的树木倒伏以及引起的损失由供应商承担。</w:t>
      </w:r>
    </w:p>
    <w:p w14:paraId="26EF84EB">
      <w:pPr>
        <w:pStyle w:val="8"/>
        <w:pageBreakBefore w:val="0"/>
        <w:widowControl w:val="0"/>
        <w:tabs>
          <w:tab w:val="left" w:pos="840"/>
        </w:tabs>
        <w:kinsoku/>
        <w:wordWrap/>
        <w:overflowPunct/>
        <w:topLinePunct w:val="0"/>
        <w:autoSpaceDE/>
        <w:autoSpaceDN/>
        <w:bidi w:val="0"/>
        <w:adjustRightInd/>
        <w:snapToGrid/>
        <w:spacing w:before="0" w:after="0" w:line="360" w:lineRule="auto"/>
        <w:ind w:left="0" w:leftChars="0" w:righ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档案资料管理要求</w:t>
      </w:r>
    </w:p>
    <w:p w14:paraId="5636D466">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1.供应商要建立资料的收集、分类整理、归档管理制度，档案管理应符合下列规定：</w:t>
      </w:r>
    </w:p>
    <w:p w14:paraId="3E886CD3">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（1）供应商应制定年度、月度管理计划，并及时收集相关资料，建立完整的技术档案。</w:t>
      </w:r>
    </w:p>
    <w:p w14:paraId="320831CC">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（2）技术档案应每年整理装订成册，编好目录，分类归档。</w:t>
      </w:r>
    </w:p>
    <w:p w14:paraId="5268B0C2">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2.日常管理中要建立花木养护记录、业务培训考核等登记制度。施肥、杀虫要经委托方签字。</w:t>
      </w:r>
    </w:p>
    <w:p w14:paraId="52969E61">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3.管理委托合同规定的其它事项。</w:t>
      </w:r>
    </w:p>
    <w:p w14:paraId="3F64B518">
      <w:pPr>
        <w:pStyle w:val="19"/>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4.以上资料每月装订提交给委托人归档。</w:t>
      </w:r>
    </w:p>
    <w:p w14:paraId="391B669E">
      <w:pPr>
        <w:pageBreakBefore w:val="0"/>
        <w:kinsoku/>
        <w:wordWrap/>
        <w:overflowPunct/>
        <w:topLinePunct w:val="0"/>
        <w:bidi w:val="0"/>
        <w:spacing w:line="360" w:lineRule="auto"/>
        <w:ind w:left="0" w:leftChars="0" w:right="0"/>
        <w:rPr>
          <w:rFonts w:hint="eastAsia" w:ascii="仿宋" w:hAnsi="仿宋" w:eastAsia="仿宋" w:cs="仿宋"/>
          <w:color w:val="auto"/>
          <w:sz w:val="28"/>
          <w:szCs w:val="28"/>
          <w:lang w:val="zh-CN"/>
        </w:rPr>
      </w:pPr>
    </w:p>
    <w:p w14:paraId="420EE753">
      <w:pPr>
        <w:pStyle w:val="7"/>
        <w:pageBreakBefore w:val="0"/>
        <w:tabs>
          <w:tab w:val="left" w:pos="840"/>
        </w:tabs>
        <w:kinsoku/>
        <w:wordWrap/>
        <w:overflowPunct/>
        <w:topLinePunct w:val="0"/>
        <w:bidi w:val="0"/>
        <w:spacing w:before="0" w:after="0" w:line="360" w:lineRule="auto"/>
        <w:ind w:left="0" w:leftChars="0" w:right="0" w:firstLine="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第</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val="zh-CN"/>
        </w:rPr>
        <w:t>节  维修</w:t>
      </w:r>
      <w:r>
        <w:rPr>
          <w:rFonts w:hint="eastAsia" w:ascii="仿宋" w:hAnsi="仿宋" w:eastAsia="仿宋" w:cs="仿宋"/>
          <w:color w:val="auto"/>
          <w:sz w:val="28"/>
          <w:szCs w:val="28"/>
        </w:rPr>
        <w:t>维护</w:t>
      </w:r>
      <w:r>
        <w:rPr>
          <w:rFonts w:hint="eastAsia" w:ascii="仿宋" w:hAnsi="仿宋" w:eastAsia="仿宋" w:cs="仿宋"/>
          <w:color w:val="auto"/>
          <w:sz w:val="28"/>
          <w:szCs w:val="28"/>
          <w:lang w:val="zh-CN"/>
        </w:rPr>
        <w:t>服务物业管理项目要求</w:t>
      </w:r>
    </w:p>
    <w:p w14:paraId="7477392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总体要求：提供专业、规范、安全、优质、高效的维修服务，确保本物业管理服务项目内资产管理有序、保值安全，建筑物和校园设施设备正常运行使用。最低用工人数不少于</w:t>
      </w:r>
      <w:r>
        <w:rPr>
          <w:rFonts w:hint="eastAsia" w:ascii="仿宋" w:hAnsi="仿宋" w:eastAsia="仿宋" w:cs="仿宋"/>
          <w:b w:val="0"/>
          <w:bCs/>
          <w:color w:val="auto"/>
          <w:sz w:val="28"/>
          <w:szCs w:val="28"/>
          <w:lang w:val="en-US" w:eastAsia="zh-CN"/>
        </w:rPr>
        <w:t>36</w:t>
      </w:r>
      <w:r>
        <w:rPr>
          <w:rFonts w:hint="eastAsia" w:ascii="仿宋" w:hAnsi="仿宋" w:eastAsia="仿宋" w:cs="仿宋"/>
          <w:b w:val="0"/>
          <w:bCs/>
          <w:color w:val="auto"/>
          <w:sz w:val="28"/>
          <w:szCs w:val="28"/>
        </w:rPr>
        <w:t>人。负责全校</w:t>
      </w:r>
      <w:r>
        <w:rPr>
          <w:rFonts w:hint="eastAsia" w:ascii="仿宋" w:hAnsi="仿宋" w:eastAsia="仿宋" w:cs="仿宋"/>
          <w:bCs/>
          <w:color w:val="auto"/>
          <w:sz w:val="28"/>
          <w:szCs w:val="28"/>
        </w:rPr>
        <w:t>区范围内所有楼宇建筑及配套用房的维护；道路、给排水系统、供配电系统(中心配和区域配由</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负责)、供暖系统（含热力交换站站房管理和热力板换清洗）、分体</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多联机）</w:t>
      </w:r>
      <w:r>
        <w:rPr>
          <w:rFonts w:hint="eastAsia" w:ascii="仿宋" w:hAnsi="仿宋" w:eastAsia="仿宋" w:cs="仿宋"/>
          <w:bCs/>
          <w:color w:val="auto"/>
          <w:sz w:val="28"/>
          <w:szCs w:val="28"/>
        </w:rPr>
        <w:t>空调、地源热泵空调系统（含站房管理、管网维护保养）、中水系统（含站房管理）室内外管网系统、校医院污水处理系统、地下管网系统、所有楼宇的二次加压水箱的维护与保养、学生公寓家具门窗玻璃以及教室桌椅等设施设备的运行、维护、维修、保养、管理等服务，做到节水、节电、节约能源，零星维修及时率达到100%，维修质量合格率达到100%，各类设施设备维修档案健全、记录完整。</w:t>
      </w:r>
    </w:p>
    <w:p w14:paraId="22DD26EE">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val="zh-CN"/>
        </w:rPr>
        <w:t>）服务范围</w:t>
      </w:r>
    </w:p>
    <w:p w14:paraId="2CA70BEB">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设施、设备</w:t>
      </w:r>
    </w:p>
    <w:p w14:paraId="287A57B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维修服务总体要求中包含的内容以外，还包括所有教学区所有室内外的上下水、雨水管网、中水管网、喷泉系统、空调系统、地下室强排系统的设备、设施的日常维修、管理、运行、维护、保养及控制。</w:t>
      </w:r>
    </w:p>
    <w:p w14:paraId="21F96E6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所有室内外的桌椅、门窗、玻璃、幕墙、黑板、屋面、墙面、墙砖、地砖、吊顶、空调、电扇、卫生间隔断、家具、景观、雕塑的日常维修、管理、运行、维护及保养。</w:t>
      </w:r>
    </w:p>
    <w:p w14:paraId="284ED75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所有道路的维修保养、污水井、雨水井、化粪池清理及疏通。</w:t>
      </w:r>
    </w:p>
    <w:p w14:paraId="162FAA9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所有楼宇、阳台、卫生间、地面、墙面及屋面的防水处理以及日常巡修、维修。</w:t>
      </w:r>
    </w:p>
    <w:p w14:paraId="786D5CE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所有楼宇的二次加压水箱的维护与保养。</w:t>
      </w:r>
    </w:p>
    <w:p w14:paraId="03427B1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所有设备、设施的维修、运行、维护、管理、保养及控制严格按照规范和规程操作处理，建立健全完善的设施、设备档案和维修、维护、保养档案（含电子档案）。</w:t>
      </w:r>
    </w:p>
    <w:p w14:paraId="7D2B108A">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日常维修和应急抢修</w:t>
      </w:r>
    </w:p>
    <w:p w14:paraId="623789D1">
      <w:pPr>
        <w:keepNext w:val="0"/>
        <w:keepLines w:val="0"/>
        <w:pageBreakBefore w:val="0"/>
        <w:widowControl/>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w:t>
      </w:r>
      <w:r>
        <w:rPr>
          <w:rFonts w:hint="eastAsia" w:ascii="仿宋" w:hAnsi="仿宋" w:eastAsia="仿宋" w:cs="仿宋"/>
          <w:bCs/>
          <w:sz w:val="28"/>
          <w:szCs w:val="28"/>
        </w:rPr>
        <w:t>日常维修、应急性抢修、临时性维修</w:t>
      </w:r>
      <w:r>
        <w:rPr>
          <w:rFonts w:hint="eastAsia" w:ascii="仿宋" w:hAnsi="仿宋" w:eastAsia="仿宋" w:cs="仿宋"/>
          <w:bCs/>
          <w:sz w:val="28"/>
          <w:szCs w:val="28"/>
          <w:lang w:val="en-US" w:eastAsia="zh-CN"/>
        </w:rPr>
        <w:t>所需</w:t>
      </w:r>
      <w:r>
        <w:rPr>
          <w:rFonts w:hint="eastAsia" w:ascii="仿宋" w:hAnsi="仿宋" w:eastAsia="仿宋" w:cs="仿宋"/>
          <w:bCs/>
          <w:sz w:val="28"/>
          <w:szCs w:val="28"/>
        </w:rPr>
        <w:t>材料</w:t>
      </w:r>
      <w:r>
        <w:rPr>
          <w:rFonts w:hint="eastAsia" w:ascii="仿宋" w:hAnsi="仿宋" w:eastAsia="仿宋" w:cs="仿宋"/>
          <w:bCs/>
          <w:sz w:val="28"/>
          <w:szCs w:val="28"/>
          <w:lang w:val="en-US" w:eastAsia="zh-CN"/>
        </w:rPr>
        <w:t>由</w:t>
      </w:r>
      <w:r>
        <w:rPr>
          <w:rFonts w:hint="eastAsia" w:ascii="仿宋" w:hAnsi="仿宋" w:eastAsia="仿宋" w:cs="仿宋"/>
          <w:bCs/>
          <w:sz w:val="28"/>
          <w:szCs w:val="28"/>
        </w:rPr>
        <w:t>采购人负责供应并负责监督施工及验收和管理，如需租用机械设备，机械设备租赁费用由供应商支付。</w:t>
      </w:r>
      <w:r>
        <w:rPr>
          <w:rFonts w:hint="eastAsia" w:ascii="仿宋" w:hAnsi="仿宋" w:eastAsia="仿宋" w:cs="仿宋"/>
          <w:bCs/>
          <w:sz w:val="28"/>
          <w:szCs w:val="28"/>
          <w:lang w:val="en-US" w:eastAsia="zh-CN"/>
        </w:rPr>
        <w:t>为区分责任，对服务技术和人工做如下界定：</w:t>
      </w:r>
    </w:p>
    <w:p w14:paraId="45014E6E">
      <w:pPr>
        <w:keepNext w:val="0"/>
        <w:keepLines w:val="0"/>
        <w:pageBreakBefore w:val="0"/>
        <w:widowControl/>
        <w:numPr>
          <w:ilvl w:val="0"/>
          <w:numId w:val="0"/>
        </w:numPr>
        <w:tabs>
          <w:tab w:val="left" w:pos="2743"/>
        </w:tabs>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楼内顶面、墙面及地面：单次维修面积超过</w:t>
      </w:r>
      <w:r>
        <w:rPr>
          <w:rFonts w:hint="eastAsia" w:ascii="仿宋" w:hAnsi="仿宋" w:eastAsia="仿宋" w:cs="仿宋"/>
          <w:bCs/>
          <w:sz w:val="28"/>
          <w:szCs w:val="28"/>
          <w:lang w:val="en-US" w:eastAsia="zh-CN"/>
        </w:rPr>
        <w:t>100</w:t>
      </w:r>
      <w:r>
        <w:rPr>
          <w:rFonts w:hint="eastAsia" w:ascii="仿宋" w:hAnsi="仿宋" w:eastAsia="仿宋" w:cs="仿宋"/>
          <w:bCs/>
          <w:sz w:val="28"/>
          <w:szCs w:val="28"/>
        </w:rPr>
        <w:t>平方米由</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负责，</w:t>
      </w:r>
      <w:r>
        <w:rPr>
          <w:rFonts w:hint="eastAsia" w:ascii="仿宋" w:hAnsi="仿宋" w:eastAsia="仿宋" w:cs="仿宋"/>
          <w:bCs/>
          <w:sz w:val="28"/>
          <w:szCs w:val="28"/>
          <w:lang w:val="en-US" w:eastAsia="zh-CN"/>
        </w:rPr>
        <w:t>100</w:t>
      </w:r>
      <w:r>
        <w:rPr>
          <w:rFonts w:hint="eastAsia" w:ascii="仿宋" w:hAnsi="仿宋" w:eastAsia="仿宋" w:cs="仿宋"/>
          <w:bCs/>
          <w:sz w:val="28"/>
          <w:szCs w:val="28"/>
        </w:rPr>
        <w:t>平方米</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含）</w:t>
      </w:r>
      <w:r>
        <w:rPr>
          <w:rFonts w:hint="eastAsia" w:ascii="仿宋" w:hAnsi="仿宋" w:eastAsia="仿宋" w:cs="仿宋"/>
          <w:bCs/>
          <w:sz w:val="28"/>
          <w:szCs w:val="28"/>
        </w:rPr>
        <w:t>以下由</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负责。</w:t>
      </w:r>
    </w:p>
    <w:p w14:paraId="2985944E">
      <w:pPr>
        <w:keepNext w:val="0"/>
        <w:keepLines w:val="0"/>
        <w:pageBreakBefore w:val="0"/>
        <w:widowControl/>
        <w:numPr>
          <w:ilvl w:val="0"/>
          <w:numId w:val="0"/>
        </w:numPr>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室外道路及广场：单次维修面积超过20平方米由</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负责，20平方米</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含）</w:t>
      </w:r>
      <w:r>
        <w:rPr>
          <w:rFonts w:hint="eastAsia" w:ascii="仿宋" w:hAnsi="仿宋" w:eastAsia="仿宋" w:cs="仿宋"/>
          <w:bCs/>
          <w:sz w:val="28"/>
          <w:szCs w:val="28"/>
        </w:rPr>
        <w:t>以下由</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负责。</w:t>
      </w:r>
    </w:p>
    <w:p w14:paraId="146E5885">
      <w:pPr>
        <w:keepNext w:val="0"/>
        <w:keepLines w:val="0"/>
        <w:pageBreakBefore w:val="0"/>
        <w:widowControl/>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建筑外墙：单次维修</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平方米以上由</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负责，</w:t>
      </w:r>
      <w:r>
        <w:rPr>
          <w:rFonts w:hint="eastAsia" w:ascii="仿宋" w:hAnsi="仿宋" w:eastAsia="仿宋" w:cs="仿宋"/>
          <w:bCs/>
          <w:sz w:val="28"/>
          <w:szCs w:val="28"/>
          <w:lang w:val="en-US" w:eastAsia="zh-CN"/>
        </w:rPr>
        <w:t>10</w:t>
      </w:r>
      <w:r>
        <w:rPr>
          <w:rFonts w:hint="eastAsia" w:ascii="仿宋" w:hAnsi="仿宋" w:eastAsia="仿宋" w:cs="仿宋"/>
          <w:bCs/>
          <w:sz w:val="28"/>
          <w:szCs w:val="28"/>
        </w:rPr>
        <w:t>平方米</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含）</w:t>
      </w:r>
      <w:r>
        <w:rPr>
          <w:rFonts w:hint="eastAsia" w:ascii="仿宋" w:hAnsi="仿宋" w:eastAsia="仿宋" w:cs="仿宋"/>
          <w:bCs/>
          <w:sz w:val="28"/>
          <w:szCs w:val="28"/>
        </w:rPr>
        <w:t>以内由</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负责。</w:t>
      </w:r>
    </w:p>
    <w:p w14:paraId="1BECCFC0">
      <w:pPr>
        <w:keepNext w:val="0"/>
        <w:keepLines w:val="0"/>
        <w:pageBreakBefore w:val="0"/>
        <w:widowControl/>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屋顶漏水：多个漏点且需重做防水层由</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负责，单个漏点或不需重做防水由</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负责。</w:t>
      </w:r>
    </w:p>
    <w:p w14:paraId="6F22D544">
      <w:pPr>
        <w:keepNext w:val="0"/>
        <w:keepLines w:val="0"/>
        <w:pageBreakBefore w:val="0"/>
        <w:widowControl/>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分体（多联机）</w:t>
      </w:r>
      <w:r>
        <w:rPr>
          <w:rFonts w:hint="eastAsia" w:ascii="仿宋" w:hAnsi="仿宋" w:eastAsia="仿宋" w:cs="仿宋"/>
          <w:bCs/>
          <w:sz w:val="28"/>
          <w:szCs w:val="28"/>
        </w:rPr>
        <w:t>空调维修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教学楼空调）</w:t>
      </w:r>
      <w:r>
        <w:rPr>
          <w:rFonts w:hint="eastAsia" w:ascii="仿宋" w:hAnsi="仿宋" w:eastAsia="仿宋" w:cs="仿宋"/>
          <w:bCs/>
          <w:sz w:val="28"/>
          <w:szCs w:val="28"/>
        </w:rPr>
        <w:t>：空调</w:t>
      </w:r>
      <w:r>
        <w:rPr>
          <w:rFonts w:hint="eastAsia" w:ascii="仿宋" w:hAnsi="仿宋" w:eastAsia="仿宋" w:cs="仿宋"/>
          <w:bCs/>
          <w:sz w:val="28"/>
          <w:szCs w:val="28"/>
          <w:lang w:val="en-US" w:eastAsia="zh-CN"/>
        </w:rPr>
        <w:t>压缩机、电路板、风扇电机、冷凝器和蒸发器等核心部件</w:t>
      </w:r>
      <w:r>
        <w:rPr>
          <w:rFonts w:hint="eastAsia" w:ascii="仿宋" w:hAnsi="仿宋" w:eastAsia="仿宋" w:cs="仿宋"/>
          <w:bCs/>
          <w:sz w:val="28"/>
          <w:szCs w:val="28"/>
        </w:rPr>
        <w:t>由校方负责，空调线路问题</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内外机清洗</w:t>
      </w:r>
      <w:r>
        <w:rPr>
          <w:rFonts w:hint="eastAsia" w:ascii="仿宋" w:hAnsi="仿宋" w:eastAsia="仿宋" w:cs="仿宋"/>
          <w:bCs/>
          <w:sz w:val="28"/>
          <w:szCs w:val="28"/>
        </w:rPr>
        <w:t>由物业公司负责。</w:t>
      </w:r>
    </w:p>
    <w:p w14:paraId="2AD2980B">
      <w:pPr>
        <w:keepNext w:val="0"/>
        <w:keepLines w:val="0"/>
        <w:pageBreakBefore w:val="0"/>
        <w:widowControl/>
        <w:tabs>
          <w:tab w:val="left" w:pos="2743"/>
        </w:tabs>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bCs/>
          <w:sz w:val="28"/>
          <w:szCs w:val="28"/>
        </w:rPr>
        <w:t>给排水管网及供暖管网：管网主管道损坏由</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负责，支管道维修由</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负责。</w:t>
      </w:r>
    </w:p>
    <w:p w14:paraId="665DC63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供应商应具备查找供电、供水设备设施故障原因的设备，并在合理时间范围内完成维修，恢复供水、供电。</w:t>
      </w:r>
    </w:p>
    <w:p w14:paraId="4FD9785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所有维修、运行、维护、管理、保养严格按照规范和规程操作处理，建立健全完善维修、维护、保养档案（含电子档案）。</w:t>
      </w:r>
    </w:p>
    <w:p w14:paraId="1C42E000">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站房管理与设施设备维护保养</w:t>
      </w:r>
    </w:p>
    <w:p w14:paraId="0BC4EDBB">
      <w:pPr>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主要</w:t>
      </w:r>
      <w:r>
        <w:rPr>
          <w:rFonts w:hint="eastAsia" w:ascii="仿宋" w:hAnsi="仿宋" w:eastAsia="仿宋" w:cs="仿宋"/>
          <w:bCs/>
          <w:color w:val="auto"/>
          <w:sz w:val="28"/>
          <w:szCs w:val="28"/>
        </w:rPr>
        <w:t>负责3个地源热泵空调机房、1个中水站房、5个热力交换站站房、</w:t>
      </w: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rPr>
        <w:t>个自来水二次加压站房的日常运行、维护、管理、保养及控制，包括</w:t>
      </w:r>
      <w:r>
        <w:rPr>
          <w:rFonts w:hint="eastAsia" w:ascii="仿宋" w:hAnsi="仿宋" w:eastAsia="仿宋" w:cs="仿宋"/>
          <w:bCs/>
          <w:color w:val="auto"/>
          <w:sz w:val="28"/>
          <w:szCs w:val="28"/>
          <w:lang w:val="en-US" w:eastAsia="zh-CN"/>
        </w:rPr>
        <w:t>地源热泵</w:t>
      </w:r>
      <w:r>
        <w:rPr>
          <w:rFonts w:hint="eastAsia" w:ascii="仿宋" w:hAnsi="仿宋" w:eastAsia="仿宋" w:cs="仿宋"/>
          <w:bCs/>
          <w:color w:val="auto"/>
          <w:sz w:val="28"/>
          <w:szCs w:val="28"/>
        </w:rPr>
        <w:t>空调机房主机保养</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油品、滤芯更换（油品和滤芯由供应商承担）</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冷凝管蒸发器疏通</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热力交换站</w:t>
      </w:r>
      <w:r>
        <w:rPr>
          <w:rFonts w:hint="eastAsia" w:ascii="仿宋" w:hAnsi="仿宋" w:eastAsia="仿宋" w:cs="仿宋"/>
          <w:bCs/>
          <w:color w:val="auto"/>
          <w:sz w:val="28"/>
          <w:szCs w:val="28"/>
        </w:rPr>
        <w:t>热力板换清洗</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配电房</w:t>
      </w:r>
      <w:r>
        <w:rPr>
          <w:rFonts w:hint="eastAsia" w:ascii="仿宋" w:hAnsi="仿宋" w:eastAsia="仿宋" w:cs="仿宋"/>
          <w:bCs/>
          <w:color w:val="auto"/>
          <w:sz w:val="28"/>
          <w:szCs w:val="28"/>
        </w:rPr>
        <w:t>高</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低）</w:t>
      </w:r>
      <w:r>
        <w:rPr>
          <w:rFonts w:hint="eastAsia" w:ascii="仿宋" w:hAnsi="仿宋" w:eastAsia="仿宋" w:cs="仿宋"/>
          <w:bCs/>
          <w:color w:val="auto"/>
          <w:sz w:val="28"/>
          <w:szCs w:val="28"/>
        </w:rPr>
        <w:t>压校</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试验</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自来水</w:t>
      </w:r>
      <w:r>
        <w:rPr>
          <w:rFonts w:hint="eastAsia" w:ascii="仿宋" w:hAnsi="仿宋" w:eastAsia="仿宋" w:cs="仿宋"/>
          <w:bCs/>
          <w:color w:val="auto"/>
          <w:sz w:val="28"/>
          <w:szCs w:val="28"/>
        </w:rPr>
        <w:t>二次加压站房内水箱清洗等内容</w:t>
      </w:r>
      <w:r>
        <w:rPr>
          <w:rFonts w:hint="eastAsia" w:ascii="仿宋" w:hAnsi="仿宋" w:eastAsia="仿宋" w:cs="仿宋"/>
          <w:bCs/>
          <w:color w:val="auto"/>
          <w:sz w:val="28"/>
          <w:szCs w:val="28"/>
          <w:lang w:eastAsia="zh-CN"/>
        </w:rPr>
        <w:t>。</w:t>
      </w:r>
      <w:r>
        <w:rPr>
          <w:rFonts w:hint="eastAsia" w:ascii="仿宋" w:hAnsi="仿宋" w:eastAsia="仿宋" w:cs="仿宋"/>
          <w:bCs/>
          <w:sz w:val="28"/>
          <w:szCs w:val="28"/>
        </w:rPr>
        <w:t>服务技术、人工全部由供应商承担，</w:t>
      </w:r>
      <w:r>
        <w:rPr>
          <w:rFonts w:hint="eastAsia" w:ascii="仿宋" w:hAnsi="仿宋" w:eastAsia="仿宋" w:cs="仿宋"/>
          <w:bCs/>
          <w:color w:val="000000"/>
          <w:kern w:val="2"/>
          <w:sz w:val="28"/>
          <w:szCs w:val="28"/>
          <w:lang w:val="en-US" w:eastAsia="zh-CN" w:bidi="ar-SA"/>
        </w:rPr>
        <w:t>维修范围单次单项材料费2000元（含）以下（不含新配置）均由供应商免费负责</w:t>
      </w:r>
      <w:r>
        <w:rPr>
          <w:rFonts w:hint="eastAsia" w:ascii="仿宋" w:hAnsi="仿宋" w:eastAsia="仿宋" w:cs="仿宋"/>
          <w:bCs/>
          <w:color w:val="000000"/>
          <w:kern w:val="2"/>
          <w:sz w:val="28"/>
          <w:szCs w:val="28"/>
          <w:lang w:val="zh-TW" w:eastAsia="zh-TW" w:bidi="ar-SA"/>
        </w:rPr>
        <w:t>。</w:t>
      </w:r>
    </w:p>
    <w:p w14:paraId="5C06AC08">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服务楼宇、面积及用工需求</w:t>
      </w:r>
    </w:p>
    <w:p w14:paraId="6F38774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color w:val="auto"/>
          <w:sz w:val="28"/>
          <w:szCs w:val="28"/>
        </w:rPr>
      </w:pPr>
      <w:r>
        <w:rPr>
          <w:rFonts w:hint="eastAsia" w:ascii="仿宋" w:hAnsi="仿宋" w:eastAsia="仿宋" w:cs="仿宋"/>
          <w:bCs/>
          <w:color w:val="auto"/>
          <w:sz w:val="28"/>
          <w:szCs w:val="28"/>
        </w:rPr>
        <w:t>通过学校维修工作的实际运行情况，维修工作要达到及时、高效、专业，根据我校基础设施、各类设备、机房、站房的维修工作实际情况、工作量，物业公司应具备一定的维修工人数量和必要的工种。维修服务包含楼宇、建筑物建筑面积、服务的主要内容及用工要求等详见下表：</w:t>
      </w:r>
    </w:p>
    <w:p w14:paraId="5CB91D36">
      <w:pPr>
        <w:pageBreakBefore w:val="0"/>
        <w:tabs>
          <w:tab w:val="left" w:pos="424"/>
        </w:tabs>
        <w:kinsoku/>
        <w:wordWrap/>
        <w:overflowPunct/>
        <w:topLinePunct w:val="0"/>
        <w:bidi w:val="0"/>
        <w:spacing w:line="360" w:lineRule="auto"/>
        <w:ind w:left="0" w:leftChars="0" w:right="0"/>
        <w:jc w:val="center"/>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维修服务楼栋、服务面积及用工需求一览表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4098"/>
        <w:gridCol w:w="732"/>
        <w:gridCol w:w="1922"/>
        <w:gridCol w:w="1228"/>
      </w:tblGrid>
      <w:tr w14:paraId="776B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4E2F910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区域</w:t>
            </w:r>
          </w:p>
        </w:tc>
        <w:tc>
          <w:tcPr>
            <w:tcW w:w="4098" w:type="dxa"/>
            <w:tcBorders>
              <w:top w:val="single" w:color="auto" w:sz="4" w:space="0"/>
              <w:left w:val="single" w:color="auto" w:sz="4" w:space="0"/>
              <w:bottom w:val="single" w:color="auto" w:sz="4" w:space="0"/>
              <w:right w:val="single" w:color="auto" w:sz="4" w:space="0"/>
            </w:tcBorders>
            <w:vAlign w:val="center"/>
          </w:tcPr>
          <w:p w14:paraId="6F623DED">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项目名称</w:t>
            </w:r>
          </w:p>
        </w:tc>
        <w:tc>
          <w:tcPr>
            <w:tcW w:w="732" w:type="dxa"/>
            <w:tcBorders>
              <w:top w:val="single" w:color="auto" w:sz="4" w:space="0"/>
              <w:left w:val="single" w:color="auto" w:sz="4" w:space="0"/>
              <w:bottom w:val="single" w:color="auto" w:sz="4" w:space="0"/>
              <w:right w:val="single" w:color="auto" w:sz="4" w:space="0"/>
            </w:tcBorders>
            <w:vAlign w:val="center"/>
          </w:tcPr>
          <w:p w14:paraId="7D727498">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c>
          <w:tcPr>
            <w:tcW w:w="1922" w:type="dxa"/>
            <w:tcBorders>
              <w:top w:val="single" w:color="auto" w:sz="4" w:space="0"/>
              <w:left w:val="single" w:color="auto" w:sz="4" w:space="0"/>
              <w:bottom w:val="single" w:color="auto" w:sz="4" w:space="0"/>
              <w:right w:val="single" w:color="auto" w:sz="4" w:space="0"/>
            </w:tcBorders>
            <w:vAlign w:val="center"/>
          </w:tcPr>
          <w:p w14:paraId="229767A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建筑面积（</w:t>
            </w:r>
            <w:r>
              <w:rPr>
                <w:rFonts w:hint="eastAsia" w:ascii="宋体" w:hAnsi="宋体" w:eastAsia="宋体" w:cs="宋体"/>
                <w:b w:val="0"/>
                <w:bCs/>
                <w:color w:val="auto"/>
                <w:sz w:val="24"/>
                <w:szCs w:val="24"/>
              </w:rPr>
              <w:t>㎡</w:t>
            </w:r>
            <w:r>
              <w:rPr>
                <w:rFonts w:hint="eastAsia" w:ascii="仿宋" w:hAnsi="仿宋" w:eastAsia="仿宋" w:cs="仿宋"/>
                <w:b w:val="0"/>
                <w:bCs/>
                <w:color w:val="auto"/>
                <w:sz w:val="24"/>
                <w:szCs w:val="24"/>
              </w:rPr>
              <w:t>）</w:t>
            </w:r>
          </w:p>
        </w:tc>
        <w:tc>
          <w:tcPr>
            <w:tcW w:w="1228" w:type="dxa"/>
            <w:tcBorders>
              <w:top w:val="single" w:color="auto" w:sz="4" w:space="0"/>
              <w:left w:val="single" w:color="auto" w:sz="4" w:space="0"/>
              <w:bottom w:val="single" w:color="auto" w:sz="4" w:space="0"/>
              <w:right w:val="single" w:color="auto" w:sz="4" w:space="0"/>
            </w:tcBorders>
            <w:vAlign w:val="center"/>
          </w:tcPr>
          <w:p w14:paraId="53D1FC3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所需人数</w:t>
            </w:r>
          </w:p>
        </w:tc>
      </w:tr>
      <w:tr w14:paraId="7E29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restart"/>
            <w:tcBorders>
              <w:top w:val="single" w:color="auto" w:sz="4" w:space="0"/>
              <w:left w:val="single" w:color="auto" w:sz="4" w:space="0"/>
              <w:right w:val="single" w:color="auto" w:sz="4" w:space="0"/>
            </w:tcBorders>
            <w:vAlign w:val="center"/>
          </w:tcPr>
          <w:p w14:paraId="2DDF9CA1">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教学区</w:t>
            </w:r>
          </w:p>
        </w:tc>
        <w:tc>
          <w:tcPr>
            <w:tcW w:w="4098" w:type="dxa"/>
            <w:tcBorders>
              <w:top w:val="single" w:color="auto" w:sz="4" w:space="0"/>
              <w:left w:val="single" w:color="auto" w:sz="4" w:space="0"/>
              <w:bottom w:val="single" w:color="auto" w:sz="4" w:space="0"/>
              <w:right w:val="single" w:color="auto" w:sz="4" w:space="0"/>
            </w:tcBorders>
          </w:tcPr>
          <w:p w14:paraId="0D67725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教学楼</w:t>
            </w:r>
          </w:p>
        </w:tc>
        <w:tc>
          <w:tcPr>
            <w:tcW w:w="732" w:type="dxa"/>
            <w:tcBorders>
              <w:top w:val="single" w:color="auto" w:sz="4" w:space="0"/>
              <w:left w:val="single" w:color="auto" w:sz="4" w:space="0"/>
              <w:bottom w:val="single" w:color="auto" w:sz="4" w:space="0"/>
              <w:right w:val="single" w:color="auto" w:sz="4" w:space="0"/>
            </w:tcBorders>
            <w:vAlign w:val="center"/>
          </w:tcPr>
          <w:p w14:paraId="53A99A4E">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922" w:type="dxa"/>
            <w:tcBorders>
              <w:top w:val="single" w:color="auto" w:sz="4" w:space="0"/>
              <w:left w:val="single" w:color="auto" w:sz="4" w:space="0"/>
              <w:bottom w:val="single" w:color="auto" w:sz="4" w:space="0"/>
              <w:right w:val="single" w:color="auto" w:sz="4" w:space="0"/>
            </w:tcBorders>
            <w:vAlign w:val="center"/>
          </w:tcPr>
          <w:p w14:paraId="5447F366">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48738</w:t>
            </w:r>
          </w:p>
        </w:tc>
        <w:tc>
          <w:tcPr>
            <w:tcW w:w="1228" w:type="dxa"/>
            <w:tcBorders>
              <w:top w:val="single" w:color="auto" w:sz="4" w:space="0"/>
              <w:left w:val="single" w:color="auto" w:sz="4" w:space="0"/>
              <w:bottom w:val="single" w:color="auto" w:sz="4" w:space="0"/>
              <w:right w:val="single" w:color="auto" w:sz="4" w:space="0"/>
            </w:tcBorders>
            <w:vAlign w:val="center"/>
          </w:tcPr>
          <w:p w14:paraId="63DA00FD">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5751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2E6ADDD5">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bottom w:val="single" w:color="auto" w:sz="4" w:space="0"/>
              <w:right w:val="single" w:color="auto" w:sz="4" w:space="0"/>
            </w:tcBorders>
          </w:tcPr>
          <w:p w14:paraId="1E2594D5">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综合实验楼</w:t>
            </w:r>
          </w:p>
        </w:tc>
        <w:tc>
          <w:tcPr>
            <w:tcW w:w="732" w:type="dxa"/>
            <w:tcBorders>
              <w:top w:val="single" w:color="auto" w:sz="4" w:space="0"/>
              <w:left w:val="single" w:color="auto" w:sz="4" w:space="0"/>
              <w:bottom w:val="single" w:color="auto" w:sz="4" w:space="0"/>
              <w:right w:val="single" w:color="auto" w:sz="4" w:space="0"/>
            </w:tcBorders>
            <w:vAlign w:val="center"/>
          </w:tcPr>
          <w:p w14:paraId="473F3790">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922" w:type="dxa"/>
            <w:tcBorders>
              <w:top w:val="single" w:color="auto" w:sz="4" w:space="0"/>
              <w:left w:val="single" w:color="auto" w:sz="4" w:space="0"/>
              <w:bottom w:val="single" w:color="auto" w:sz="4" w:space="0"/>
              <w:right w:val="single" w:color="auto" w:sz="4" w:space="0"/>
            </w:tcBorders>
            <w:vAlign w:val="center"/>
          </w:tcPr>
          <w:p w14:paraId="0791C50D">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28195.1</w:t>
            </w:r>
          </w:p>
        </w:tc>
        <w:tc>
          <w:tcPr>
            <w:tcW w:w="1228" w:type="dxa"/>
            <w:tcBorders>
              <w:top w:val="single" w:color="auto" w:sz="4" w:space="0"/>
              <w:left w:val="single" w:color="auto" w:sz="4" w:space="0"/>
              <w:bottom w:val="single" w:color="auto" w:sz="4" w:space="0"/>
              <w:right w:val="single" w:color="auto" w:sz="4" w:space="0"/>
            </w:tcBorders>
            <w:vAlign w:val="center"/>
          </w:tcPr>
          <w:p w14:paraId="093C72E0">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2359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00EAE1E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bottom w:val="single" w:color="auto" w:sz="4" w:space="0"/>
              <w:right w:val="single" w:color="auto" w:sz="4" w:space="0"/>
            </w:tcBorders>
          </w:tcPr>
          <w:p w14:paraId="34682B13">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教学科研楼</w:t>
            </w:r>
          </w:p>
        </w:tc>
        <w:tc>
          <w:tcPr>
            <w:tcW w:w="732" w:type="dxa"/>
            <w:tcBorders>
              <w:top w:val="single" w:color="auto" w:sz="4" w:space="0"/>
              <w:left w:val="single" w:color="auto" w:sz="4" w:space="0"/>
              <w:bottom w:val="single" w:color="auto" w:sz="4" w:space="0"/>
              <w:right w:val="single" w:color="auto" w:sz="4" w:space="0"/>
            </w:tcBorders>
            <w:vAlign w:val="center"/>
          </w:tcPr>
          <w:p w14:paraId="119C6F9A">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922" w:type="dxa"/>
            <w:tcBorders>
              <w:top w:val="single" w:color="auto" w:sz="4" w:space="0"/>
              <w:left w:val="single" w:color="auto" w:sz="4" w:space="0"/>
              <w:bottom w:val="single" w:color="auto" w:sz="4" w:space="0"/>
              <w:right w:val="single" w:color="auto" w:sz="4" w:space="0"/>
            </w:tcBorders>
            <w:vAlign w:val="center"/>
          </w:tcPr>
          <w:p w14:paraId="04303758">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32824.3</w:t>
            </w:r>
          </w:p>
        </w:tc>
        <w:tc>
          <w:tcPr>
            <w:tcW w:w="1228" w:type="dxa"/>
            <w:tcBorders>
              <w:top w:val="single" w:color="auto" w:sz="4" w:space="0"/>
              <w:left w:val="single" w:color="auto" w:sz="4" w:space="0"/>
              <w:bottom w:val="single" w:color="auto" w:sz="4" w:space="0"/>
              <w:right w:val="single" w:color="auto" w:sz="4" w:space="0"/>
            </w:tcBorders>
            <w:vAlign w:val="center"/>
          </w:tcPr>
          <w:p w14:paraId="41BB196A">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3BAF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327F3A5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bottom w:val="single" w:color="auto" w:sz="4" w:space="0"/>
              <w:right w:val="single" w:color="auto" w:sz="4" w:space="0"/>
            </w:tcBorders>
          </w:tcPr>
          <w:p w14:paraId="31169B9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行政办公楼</w:t>
            </w:r>
          </w:p>
        </w:tc>
        <w:tc>
          <w:tcPr>
            <w:tcW w:w="732" w:type="dxa"/>
            <w:tcBorders>
              <w:top w:val="single" w:color="auto" w:sz="4" w:space="0"/>
              <w:left w:val="single" w:color="auto" w:sz="4" w:space="0"/>
              <w:bottom w:val="single" w:color="auto" w:sz="4" w:space="0"/>
              <w:right w:val="single" w:color="auto" w:sz="4" w:space="0"/>
            </w:tcBorders>
            <w:vAlign w:val="center"/>
          </w:tcPr>
          <w:p w14:paraId="2203FB52">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922" w:type="dxa"/>
            <w:tcBorders>
              <w:top w:val="single" w:color="auto" w:sz="4" w:space="0"/>
              <w:left w:val="single" w:color="auto" w:sz="4" w:space="0"/>
              <w:bottom w:val="single" w:color="auto" w:sz="4" w:space="0"/>
              <w:right w:val="single" w:color="auto" w:sz="4" w:space="0"/>
            </w:tcBorders>
            <w:vAlign w:val="center"/>
          </w:tcPr>
          <w:p w14:paraId="2E8480D8">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33318</w:t>
            </w:r>
          </w:p>
        </w:tc>
        <w:tc>
          <w:tcPr>
            <w:tcW w:w="1228" w:type="dxa"/>
            <w:tcBorders>
              <w:top w:val="single" w:color="auto" w:sz="4" w:space="0"/>
              <w:left w:val="single" w:color="auto" w:sz="4" w:space="0"/>
              <w:bottom w:val="single" w:color="auto" w:sz="4" w:space="0"/>
              <w:right w:val="single" w:color="auto" w:sz="4" w:space="0"/>
            </w:tcBorders>
            <w:vAlign w:val="center"/>
          </w:tcPr>
          <w:p w14:paraId="3FC509E6">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7FBE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5F988E1E">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bottom w:val="single" w:color="auto" w:sz="4" w:space="0"/>
              <w:right w:val="single" w:color="auto" w:sz="4" w:space="0"/>
            </w:tcBorders>
          </w:tcPr>
          <w:p w14:paraId="6A4D7239">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法学部楼、校医院、教职工活动中心</w:t>
            </w:r>
            <w:r>
              <w:rPr>
                <w:rFonts w:hint="eastAsia" w:ascii="仿宋" w:hAnsi="仿宋" w:eastAsia="仿宋" w:cs="仿宋"/>
                <w:b w:val="0"/>
                <w:bCs/>
                <w:color w:val="auto"/>
                <w:sz w:val="24"/>
                <w:szCs w:val="24"/>
                <w:lang w:val="en-US" w:eastAsia="zh-CN"/>
              </w:rPr>
              <w:t>及配套用房</w:t>
            </w:r>
          </w:p>
        </w:tc>
        <w:tc>
          <w:tcPr>
            <w:tcW w:w="732" w:type="dxa"/>
            <w:tcBorders>
              <w:top w:val="single" w:color="auto" w:sz="4" w:space="0"/>
              <w:left w:val="single" w:color="auto" w:sz="4" w:space="0"/>
              <w:bottom w:val="single" w:color="auto" w:sz="4" w:space="0"/>
              <w:right w:val="single" w:color="auto" w:sz="4" w:space="0"/>
            </w:tcBorders>
            <w:vAlign w:val="center"/>
          </w:tcPr>
          <w:p w14:paraId="527F2C40">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922" w:type="dxa"/>
            <w:tcBorders>
              <w:top w:val="single" w:color="auto" w:sz="4" w:space="0"/>
              <w:left w:val="single" w:color="auto" w:sz="4" w:space="0"/>
              <w:bottom w:val="single" w:color="auto" w:sz="4" w:space="0"/>
              <w:right w:val="single" w:color="auto" w:sz="4" w:space="0"/>
            </w:tcBorders>
            <w:vAlign w:val="center"/>
          </w:tcPr>
          <w:p w14:paraId="03BE1845">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18391.89</w:t>
            </w:r>
          </w:p>
        </w:tc>
        <w:tc>
          <w:tcPr>
            <w:tcW w:w="1228" w:type="dxa"/>
            <w:tcBorders>
              <w:top w:val="single" w:color="auto" w:sz="4" w:space="0"/>
              <w:left w:val="single" w:color="auto" w:sz="4" w:space="0"/>
              <w:bottom w:val="single" w:color="auto" w:sz="4" w:space="0"/>
              <w:right w:val="single" w:color="auto" w:sz="4" w:space="0"/>
            </w:tcBorders>
            <w:vAlign w:val="center"/>
          </w:tcPr>
          <w:p w14:paraId="20DDFF64">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44A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700B6E7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bottom w:val="single" w:color="auto" w:sz="4" w:space="0"/>
              <w:right w:val="single" w:color="auto" w:sz="4" w:space="0"/>
            </w:tcBorders>
          </w:tcPr>
          <w:p w14:paraId="38AE0856">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建树楼、东西南体育场、训练馆、东西南大门、商业街</w:t>
            </w:r>
          </w:p>
        </w:tc>
        <w:tc>
          <w:tcPr>
            <w:tcW w:w="732" w:type="dxa"/>
            <w:tcBorders>
              <w:top w:val="single" w:color="auto" w:sz="4" w:space="0"/>
              <w:left w:val="single" w:color="auto" w:sz="4" w:space="0"/>
              <w:bottom w:val="single" w:color="auto" w:sz="4" w:space="0"/>
              <w:right w:val="single" w:color="auto" w:sz="4" w:space="0"/>
            </w:tcBorders>
            <w:vAlign w:val="center"/>
          </w:tcPr>
          <w:p w14:paraId="751B9A89">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922" w:type="dxa"/>
            <w:tcBorders>
              <w:top w:val="single" w:color="auto" w:sz="4" w:space="0"/>
              <w:left w:val="single" w:color="auto" w:sz="4" w:space="0"/>
              <w:bottom w:val="single" w:color="auto" w:sz="4" w:space="0"/>
              <w:right w:val="single" w:color="auto" w:sz="4" w:space="0"/>
            </w:tcBorders>
            <w:vAlign w:val="center"/>
          </w:tcPr>
          <w:p w14:paraId="299553B1">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37598</w:t>
            </w:r>
          </w:p>
        </w:tc>
        <w:tc>
          <w:tcPr>
            <w:tcW w:w="1228" w:type="dxa"/>
            <w:tcBorders>
              <w:top w:val="single" w:color="auto" w:sz="4" w:space="0"/>
              <w:left w:val="single" w:color="auto" w:sz="4" w:space="0"/>
              <w:bottom w:val="single" w:color="auto" w:sz="4" w:space="0"/>
              <w:right w:val="single" w:color="auto" w:sz="4" w:space="0"/>
            </w:tcBorders>
            <w:vAlign w:val="center"/>
          </w:tcPr>
          <w:p w14:paraId="01357055">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01D6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vMerge w:val="continue"/>
            <w:tcBorders>
              <w:left w:val="single" w:color="auto" w:sz="4" w:space="0"/>
              <w:right w:val="single" w:color="auto" w:sz="4" w:space="0"/>
            </w:tcBorders>
            <w:vAlign w:val="center"/>
          </w:tcPr>
          <w:p w14:paraId="276D98F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4098" w:type="dxa"/>
            <w:tcBorders>
              <w:top w:val="single" w:color="auto" w:sz="4" w:space="0"/>
              <w:left w:val="single" w:color="auto" w:sz="4" w:space="0"/>
              <w:right w:val="single" w:color="auto" w:sz="4" w:space="0"/>
            </w:tcBorders>
            <w:vAlign w:val="center"/>
          </w:tcPr>
          <w:p w14:paraId="289DF4B6">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图书馆</w:t>
            </w:r>
          </w:p>
        </w:tc>
        <w:tc>
          <w:tcPr>
            <w:tcW w:w="732" w:type="dxa"/>
            <w:tcBorders>
              <w:top w:val="single" w:color="auto" w:sz="4" w:space="0"/>
              <w:left w:val="single" w:color="auto" w:sz="4" w:space="0"/>
              <w:right w:val="single" w:color="auto" w:sz="4" w:space="0"/>
            </w:tcBorders>
            <w:vAlign w:val="center"/>
          </w:tcPr>
          <w:p w14:paraId="6464B0AC">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922" w:type="dxa"/>
            <w:tcBorders>
              <w:top w:val="single" w:color="auto" w:sz="4" w:space="0"/>
              <w:left w:val="single" w:color="auto" w:sz="4" w:space="0"/>
              <w:right w:val="single" w:color="auto" w:sz="4" w:space="0"/>
            </w:tcBorders>
            <w:vAlign w:val="center"/>
          </w:tcPr>
          <w:p w14:paraId="5C40F490">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47573.78</w:t>
            </w:r>
          </w:p>
        </w:tc>
        <w:tc>
          <w:tcPr>
            <w:tcW w:w="1228" w:type="dxa"/>
            <w:tcBorders>
              <w:top w:val="single" w:color="auto" w:sz="4" w:space="0"/>
              <w:left w:val="single" w:color="auto" w:sz="4" w:space="0"/>
              <w:bottom w:val="single" w:color="auto" w:sz="4" w:space="0"/>
              <w:right w:val="single" w:color="auto" w:sz="4" w:space="0"/>
            </w:tcBorders>
            <w:vAlign w:val="center"/>
          </w:tcPr>
          <w:p w14:paraId="2E8E0435">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4316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098ACF5D">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宿舍区</w:t>
            </w:r>
          </w:p>
        </w:tc>
        <w:tc>
          <w:tcPr>
            <w:tcW w:w="4098" w:type="dxa"/>
            <w:tcBorders>
              <w:top w:val="single" w:color="auto" w:sz="4" w:space="0"/>
              <w:left w:val="single" w:color="auto" w:sz="4" w:space="0"/>
              <w:bottom w:val="single" w:color="auto" w:sz="4" w:space="0"/>
              <w:right w:val="single" w:color="auto" w:sz="4" w:space="0"/>
            </w:tcBorders>
            <w:vAlign w:val="center"/>
          </w:tcPr>
          <w:p w14:paraId="6510994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怡苑、馨苑、静苑、雅苑</w:t>
            </w:r>
          </w:p>
        </w:tc>
        <w:tc>
          <w:tcPr>
            <w:tcW w:w="732" w:type="dxa"/>
            <w:tcBorders>
              <w:top w:val="single" w:color="auto" w:sz="4" w:space="0"/>
              <w:left w:val="single" w:color="auto" w:sz="4" w:space="0"/>
              <w:bottom w:val="single" w:color="auto" w:sz="4" w:space="0"/>
              <w:right w:val="single" w:color="auto" w:sz="4" w:space="0"/>
            </w:tcBorders>
            <w:vAlign w:val="center"/>
          </w:tcPr>
          <w:p w14:paraId="74DDD8C1">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w:t>
            </w:r>
          </w:p>
        </w:tc>
        <w:tc>
          <w:tcPr>
            <w:tcW w:w="1922" w:type="dxa"/>
            <w:tcBorders>
              <w:top w:val="single" w:color="auto" w:sz="4" w:space="0"/>
              <w:left w:val="single" w:color="auto" w:sz="4" w:space="0"/>
              <w:bottom w:val="single" w:color="auto" w:sz="4" w:space="0"/>
              <w:right w:val="single" w:color="auto" w:sz="4" w:space="0"/>
            </w:tcBorders>
            <w:vAlign w:val="center"/>
          </w:tcPr>
          <w:p w14:paraId="7A4C5EDA">
            <w:pPr>
              <w:pageBreakBefore w:val="0"/>
              <w:tabs>
                <w:tab w:val="left" w:pos="424"/>
              </w:tabs>
              <w:kinsoku/>
              <w:wordWrap/>
              <w:overflowPunct/>
              <w:topLinePunct w:val="0"/>
              <w:bidi w:val="0"/>
              <w:spacing w:line="360" w:lineRule="auto"/>
              <w:ind w:left="0" w:leftChars="0" w:right="0" w:firstLine="480" w:firstLineChars="200"/>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213716</w:t>
            </w:r>
          </w:p>
        </w:tc>
        <w:tc>
          <w:tcPr>
            <w:tcW w:w="1228" w:type="dxa"/>
            <w:tcBorders>
              <w:top w:val="single" w:color="auto" w:sz="4" w:space="0"/>
              <w:left w:val="single" w:color="auto" w:sz="4" w:space="0"/>
              <w:bottom w:val="single" w:color="auto" w:sz="4" w:space="0"/>
              <w:right w:val="single" w:color="auto" w:sz="4" w:space="0"/>
            </w:tcBorders>
            <w:vAlign w:val="center"/>
          </w:tcPr>
          <w:p w14:paraId="1A5E179F">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16</w:t>
            </w:r>
          </w:p>
        </w:tc>
      </w:tr>
      <w:tr w14:paraId="033A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1A81DCF3">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w:t>
            </w:r>
          </w:p>
        </w:tc>
        <w:tc>
          <w:tcPr>
            <w:tcW w:w="4098" w:type="dxa"/>
            <w:tcBorders>
              <w:top w:val="single" w:color="auto" w:sz="4" w:space="0"/>
              <w:left w:val="single" w:color="auto" w:sz="4" w:space="0"/>
              <w:bottom w:val="single" w:color="auto" w:sz="4" w:space="0"/>
              <w:right w:val="single" w:color="auto" w:sz="4" w:space="0"/>
            </w:tcBorders>
          </w:tcPr>
          <w:p w14:paraId="0378DC8B">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区域内道路、公共卫生间、设施、管网、路灯、休闲座椅等</w:t>
            </w:r>
          </w:p>
        </w:tc>
        <w:tc>
          <w:tcPr>
            <w:tcW w:w="732" w:type="dxa"/>
            <w:tcBorders>
              <w:top w:val="single" w:color="auto" w:sz="4" w:space="0"/>
              <w:left w:val="single" w:color="auto" w:sz="4" w:space="0"/>
              <w:bottom w:val="single" w:color="auto" w:sz="4" w:space="0"/>
              <w:right w:val="single" w:color="auto" w:sz="4" w:space="0"/>
            </w:tcBorders>
            <w:vAlign w:val="center"/>
          </w:tcPr>
          <w:p w14:paraId="6F551885">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922" w:type="dxa"/>
            <w:tcBorders>
              <w:top w:val="single" w:color="auto" w:sz="4" w:space="0"/>
              <w:left w:val="single" w:color="auto" w:sz="4" w:space="0"/>
              <w:bottom w:val="single" w:color="auto" w:sz="4" w:space="0"/>
              <w:right w:val="single" w:color="auto" w:sz="4" w:space="0"/>
            </w:tcBorders>
            <w:vAlign w:val="center"/>
          </w:tcPr>
          <w:p w14:paraId="14AF66FF">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4659F8E1">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287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00B887EB">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中水站房</w:t>
            </w:r>
          </w:p>
        </w:tc>
        <w:tc>
          <w:tcPr>
            <w:tcW w:w="4098" w:type="dxa"/>
            <w:tcBorders>
              <w:top w:val="single" w:color="auto" w:sz="4" w:space="0"/>
              <w:left w:val="single" w:color="auto" w:sz="4" w:space="0"/>
              <w:bottom w:val="single" w:color="auto" w:sz="4" w:space="0"/>
              <w:right w:val="single" w:color="auto" w:sz="4" w:space="0"/>
            </w:tcBorders>
          </w:tcPr>
          <w:p w14:paraId="26571FAB">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第2食堂南边和11个二次加压站房</w:t>
            </w:r>
          </w:p>
        </w:tc>
        <w:tc>
          <w:tcPr>
            <w:tcW w:w="732" w:type="dxa"/>
            <w:tcBorders>
              <w:top w:val="single" w:color="auto" w:sz="4" w:space="0"/>
              <w:left w:val="single" w:color="auto" w:sz="4" w:space="0"/>
              <w:bottom w:val="single" w:color="auto" w:sz="4" w:space="0"/>
              <w:right w:val="single" w:color="auto" w:sz="4" w:space="0"/>
            </w:tcBorders>
            <w:vAlign w:val="center"/>
          </w:tcPr>
          <w:p w14:paraId="60C612DA">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922" w:type="dxa"/>
            <w:tcBorders>
              <w:top w:val="single" w:color="auto" w:sz="4" w:space="0"/>
              <w:left w:val="single" w:color="auto" w:sz="4" w:space="0"/>
              <w:bottom w:val="single" w:color="auto" w:sz="4" w:space="0"/>
              <w:right w:val="single" w:color="auto" w:sz="4" w:space="0"/>
            </w:tcBorders>
            <w:vAlign w:val="center"/>
          </w:tcPr>
          <w:p w14:paraId="14B528A4">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p>
        </w:tc>
        <w:tc>
          <w:tcPr>
            <w:tcW w:w="1228" w:type="dxa"/>
            <w:vMerge w:val="restart"/>
            <w:tcBorders>
              <w:top w:val="single" w:color="auto" w:sz="4" w:space="0"/>
              <w:left w:val="single" w:color="auto" w:sz="4" w:space="0"/>
              <w:bottom w:val="single" w:color="auto" w:sz="4" w:space="0"/>
              <w:right w:val="single" w:color="auto" w:sz="4" w:space="0"/>
            </w:tcBorders>
            <w:vAlign w:val="center"/>
          </w:tcPr>
          <w:p w14:paraId="2B26FD42">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w:t>
            </w:r>
          </w:p>
        </w:tc>
      </w:tr>
      <w:tr w14:paraId="2D7F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30F7094B">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地源热泵空调</w:t>
            </w:r>
          </w:p>
        </w:tc>
        <w:tc>
          <w:tcPr>
            <w:tcW w:w="4098" w:type="dxa"/>
            <w:tcBorders>
              <w:top w:val="single" w:color="auto" w:sz="4" w:space="0"/>
              <w:left w:val="single" w:color="auto" w:sz="4" w:space="0"/>
              <w:bottom w:val="single" w:color="auto" w:sz="4" w:space="0"/>
              <w:right w:val="single" w:color="auto" w:sz="4" w:space="0"/>
            </w:tcBorders>
          </w:tcPr>
          <w:p w14:paraId="57B097C5">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行政楼、图书馆、综合实验楼空调站房</w:t>
            </w:r>
          </w:p>
        </w:tc>
        <w:tc>
          <w:tcPr>
            <w:tcW w:w="732" w:type="dxa"/>
            <w:tcBorders>
              <w:top w:val="single" w:color="auto" w:sz="4" w:space="0"/>
              <w:left w:val="single" w:color="auto" w:sz="4" w:space="0"/>
              <w:bottom w:val="single" w:color="auto" w:sz="4" w:space="0"/>
              <w:right w:val="single" w:color="auto" w:sz="4" w:space="0"/>
            </w:tcBorders>
            <w:vAlign w:val="center"/>
          </w:tcPr>
          <w:p w14:paraId="186A45B9">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922" w:type="dxa"/>
            <w:tcBorders>
              <w:top w:val="single" w:color="auto" w:sz="4" w:space="0"/>
              <w:left w:val="single" w:color="auto" w:sz="4" w:space="0"/>
              <w:bottom w:val="single" w:color="auto" w:sz="4" w:space="0"/>
              <w:right w:val="single" w:color="auto" w:sz="4" w:space="0"/>
            </w:tcBorders>
            <w:vAlign w:val="center"/>
          </w:tcPr>
          <w:p w14:paraId="7A3E6624">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849B36E">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color w:val="auto"/>
                <w:sz w:val="24"/>
                <w:szCs w:val="24"/>
              </w:rPr>
            </w:pPr>
          </w:p>
        </w:tc>
      </w:tr>
      <w:tr w14:paraId="3BBF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1F5B2FA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热力交换站</w:t>
            </w:r>
          </w:p>
        </w:tc>
        <w:tc>
          <w:tcPr>
            <w:tcW w:w="4098" w:type="dxa"/>
            <w:tcBorders>
              <w:top w:val="single" w:color="auto" w:sz="4" w:space="0"/>
              <w:left w:val="single" w:color="auto" w:sz="4" w:space="0"/>
              <w:bottom w:val="single" w:color="auto" w:sz="4" w:space="0"/>
              <w:right w:val="single" w:color="auto" w:sz="4" w:space="0"/>
            </w:tcBorders>
          </w:tcPr>
          <w:p w14:paraId="3A0868BF">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各区域热力站</w:t>
            </w:r>
          </w:p>
        </w:tc>
        <w:tc>
          <w:tcPr>
            <w:tcW w:w="732" w:type="dxa"/>
            <w:tcBorders>
              <w:top w:val="single" w:color="auto" w:sz="4" w:space="0"/>
              <w:left w:val="single" w:color="auto" w:sz="4" w:space="0"/>
              <w:bottom w:val="single" w:color="auto" w:sz="4" w:space="0"/>
              <w:right w:val="single" w:color="auto" w:sz="4" w:space="0"/>
            </w:tcBorders>
            <w:vAlign w:val="center"/>
          </w:tcPr>
          <w:p w14:paraId="0A9A8F1C">
            <w:pPr>
              <w:pageBreakBefore w:val="0"/>
              <w:tabs>
                <w:tab w:val="left" w:pos="424"/>
              </w:tabs>
              <w:kinsoku/>
              <w:wordWrap/>
              <w:overflowPunct/>
              <w:topLinePunct w:val="0"/>
              <w:bidi w:val="0"/>
              <w:spacing w:line="360" w:lineRule="auto"/>
              <w:ind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w:t>
            </w:r>
          </w:p>
        </w:tc>
        <w:tc>
          <w:tcPr>
            <w:tcW w:w="1922" w:type="dxa"/>
            <w:tcBorders>
              <w:top w:val="single" w:color="auto" w:sz="4" w:space="0"/>
              <w:left w:val="single" w:color="auto" w:sz="4" w:space="0"/>
              <w:bottom w:val="single" w:color="auto" w:sz="4" w:space="0"/>
              <w:right w:val="single" w:color="auto" w:sz="4" w:space="0"/>
            </w:tcBorders>
            <w:vAlign w:val="center"/>
          </w:tcPr>
          <w:p w14:paraId="18887B34">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3EB2447F">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color w:val="auto"/>
                <w:sz w:val="24"/>
                <w:szCs w:val="24"/>
              </w:rPr>
            </w:pPr>
          </w:p>
        </w:tc>
      </w:tr>
      <w:tr w14:paraId="7A29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56" w:type="dxa"/>
            <w:gridSpan w:val="2"/>
            <w:tcBorders>
              <w:top w:val="single" w:color="auto" w:sz="4" w:space="0"/>
              <w:left w:val="single" w:color="auto" w:sz="4" w:space="0"/>
              <w:bottom w:val="single" w:color="auto" w:sz="4" w:space="0"/>
              <w:right w:val="single" w:color="auto" w:sz="4" w:space="0"/>
            </w:tcBorders>
            <w:vAlign w:val="center"/>
          </w:tcPr>
          <w:p w14:paraId="18BAA3C4">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合计</w:t>
            </w:r>
          </w:p>
        </w:tc>
        <w:tc>
          <w:tcPr>
            <w:tcW w:w="732" w:type="dxa"/>
            <w:tcBorders>
              <w:top w:val="single" w:color="auto" w:sz="4" w:space="0"/>
              <w:left w:val="single" w:color="auto" w:sz="4" w:space="0"/>
              <w:bottom w:val="single" w:color="auto" w:sz="4" w:space="0"/>
              <w:right w:val="single" w:color="auto" w:sz="4" w:space="0"/>
            </w:tcBorders>
            <w:vAlign w:val="center"/>
          </w:tcPr>
          <w:p w14:paraId="418E72F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46</w:t>
            </w:r>
          </w:p>
        </w:tc>
        <w:tc>
          <w:tcPr>
            <w:tcW w:w="1922" w:type="dxa"/>
            <w:tcBorders>
              <w:top w:val="single" w:color="auto" w:sz="4" w:space="0"/>
              <w:left w:val="single" w:color="auto" w:sz="4" w:space="0"/>
              <w:bottom w:val="single" w:color="auto" w:sz="4" w:space="0"/>
              <w:right w:val="single" w:color="auto" w:sz="4" w:space="0"/>
            </w:tcBorders>
          </w:tcPr>
          <w:p w14:paraId="088E6F95">
            <w:pPr>
              <w:pageBreakBefore w:val="0"/>
              <w:tabs>
                <w:tab w:val="left" w:pos="424"/>
              </w:tabs>
              <w:kinsoku/>
              <w:wordWrap/>
              <w:overflowPunct/>
              <w:topLinePunct w:val="0"/>
              <w:bidi w:val="0"/>
              <w:spacing w:line="360" w:lineRule="auto"/>
              <w:ind w:left="0" w:leftChars="0" w:right="0" w:firstLine="480" w:firstLineChars="200"/>
              <w:jc w:val="center"/>
              <w:rPr>
                <w:rFonts w:hint="eastAsia" w:ascii="仿宋" w:hAnsi="仿宋" w:eastAsia="仿宋" w:cs="仿宋"/>
                <w:b w:val="0"/>
                <w:bCs/>
                <w:color w:val="auto"/>
                <w:sz w:val="24"/>
                <w:szCs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6B7BE78B">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w:t>
            </w:r>
          </w:p>
        </w:tc>
      </w:tr>
    </w:tbl>
    <w:p w14:paraId="57F49FD6">
      <w:pPr>
        <w:pStyle w:val="8"/>
        <w:pageBreakBefore w:val="0"/>
        <w:numPr>
          <w:ilvl w:val="0"/>
          <w:numId w:val="0"/>
        </w:numPr>
        <w:tabs>
          <w:tab w:val="left" w:pos="840"/>
        </w:tabs>
        <w:kinsoku/>
        <w:wordWrap/>
        <w:overflowPunct/>
        <w:topLinePunct w:val="0"/>
        <w:bidi w:val="0"/>
        <w:spacing w:before="0" w:after="0" w:line="360" w:lineRule="auto"/>
        <w:ind w:leftChars="0" w:right="0" w:rightChars="0"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服务内容</w:t>
      </w:r>
    </w:p>
    <w:p w14:paraId="713FFE07">
      <w:pPr>
        <w:pageBreakBefore w:val="0"/>
        <w:kinsoku/>
        <w:wordWrap/>
        <w:overflowPunct/>
        <w:topLinePunct w:val="0"/>
        <w:bidi w:val="0"/>
        <w:spacing w:line="360" w:lineRule="auto"/>
        <w:ind w:left="0" w:leftChars="0" w:right="0" w:firstLine="560" w:firstLineChars="200"/>
        <w:jc w:val="left"/>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rPr>
        <w:t>1.各区域维修服务主要内容详见下表：</w:t>
      </w:r>
    </w:p>
    <w:p w14:paraId="685DEE06">
      <w:pPr>
        <w:pageBreakBefore w:val="0"/>
        <w:tabs>
          <w:tab w:val="left" w:pos="840"/>
        </w:tabs>
        <w:kinsoku/>
        <w:wordWrap/>
        <w:overflowPunct/>
        <w:topLinePunct w:val="0"/>
        <w:bidi w:val="0"/>
        <w:spacing w:before="0" w:after="0" w:line="360" w:lineRule="auto"/>
        <w:ind w:left="0" w:leftChars="0" w:right="0" w:firstLine="0"/>
        <w:jc w:val="center"/>
        <w:outlineLvl w:val="9"/>
        <w:rPr>
          <w:rFonts w:hint="eastAsia" w:ascii="仿宋" w:hAnsi="仿宋" w:eastAsia="仿宋" w:cs="仿宋"/>
          <w:color w:val="auto"/>
          <w:sz w:val="28"/>
          <w:szCs w:val="28"/>
        </w:rPr>
      </w:pPr>
      <w:r>
        <w:rPr>
          <w:rFonts w:hint="eastAsia" w:ascii="仿宋" w:hAnsi="仿宋" w:eastAsia="仿宋" w:cs="仿宋"/>
          <w:color w:val="auto"/>
          <w:sz w:val="28"/>
          <w:szCs w:val="28"/>
        </w:rPr>
        <w:t>各区域维修服务主要内容一览表</w:t>
      </w:r>
    </w:p>
    <w:tbl>
      <w:tblPr>
        <w:tblStyle w:val="53"/>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92"/>
        <w:gridCol w:w="640"/>
        <w:gridCol w:w="1607"/>
        <w:gridCol w:w="6136"/>
        <w:gridCol w:w="563"/>
      </w:tblGrid>
      <w:tr w14:paraId="72E1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Align w:val="center"/>
          </w:tcPr>
          <w:p w14:paraId="74926D5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区域名称</w:t>
            </w:r>
          </w:p>
        </w:tc>
        <w:tc>
          <w:tcPr>
            <w:tcW w:w="8383" w:type="dxa"/>
            <w:gridSpan w:val="3"/>
            <w:vAlign w:val="center"/>
          </w:tcPr>
          <w:p w14:paraId="74DEF02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服务内容</w:t>
            </w:r>
          </w:p>
        </w:tc>
        <w:tc>
          <w:tcPr>
            <w:tcW w:w="563" w:type="dxa"/>
            <w:vAlign w:val="center"/>
          </w:tcPr>
          <w:p w14:paraId="53C7727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14:paraId="6D7F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restart"/>
            <w:vAlign w:val="center"/>
          </w:tcPr>
          <w:p w14:paraId="0AA37CD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教学区</w:t>
            </w:r>
          </w:p>
        </w:tc>
        <w:tc>
          <w:tcPr>
            <w:tcW w:w="640" w:type="dxa"/>
            <w:vMerge w:val="restart"/>
            <w:vAlign w:val="center"/>
          </w:tcPr>
          <w:p w14:paraId="437B121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电</w:t>
            </w:r>
          </w:p>
        </w:tc>
        <w:tc>
          <w:tcPr>
            <w:tcW w:w="1607" w:type="dxa"/>
            <w:vAlign w:val="center"/>
          </w:tcPr>
          <w:p w14:paraId="3705097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办公室、教室</w:t>
            </w:r>
          </w:p>
        </w:tc>
        <w:tc>
          <w:tcPr>
            <w:tcW w:w="6136" w:type="dxa"/>
            <w:vAlign w:val="center"/>
          </w:tcPr>
          <w:p w14:paraId="2AB3464B">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灯具、电扇、插座、配电盒、空调等</w:t>
            </w:r>
          </w:p>
        </w:tc>
        <w:tc>
          <w:tcPr>
            <w:tcW w:w="563" w:type="dxa"/>
            <w:vAlign w:val="center"/>
          </w:tcPr>
          <w:p w14:paraId="4D67B44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5BC3B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4CB445A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02015D9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4A68DE8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地源空调</w:t>
            </w:r>
          </w:p>
        </w:tc>
        <w:tc>
          <w:tcPr>
            <w:tcW w:w="6136" w:type="dxa"/>
            <w:vAlign w:val="center"/>
          </w:tcPr>
          <w:p w14:paraId="2930B918">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末端开关、风口和楼宇内的管网等</w:t>
            </w:r>
          </w:p>
        </w:tc>
        <w:tc>
          <w:tcPr>
            <w:tcW w:w="563" w:type="dxa"/>
            <w:vAlign w:val="center"/>
          </w:tcPr>
          <w:p w14:paraId="2615C7E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409DB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0FD0358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14718A7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186B20F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分体（多联机）空调</w:t>
            </w:r>
          </w:p>
        </w:tc>
        <w:tc>
          <w:tcPr>
            <w:tcW w:w="6136" w:type="dxa"/>
            <w:vAlign w:val="center"/>
          </w:tcPr>
          <w:p w14:paraId="705D3B82">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风口、滤网、室外机</w:t>
            </w:r>
          </w:p>
        </w:tc>
        <w:tc>
          <w:tcPr>
            <w:tcW w:w="563" w:type="dxa"/>
            <w:vAlign w:val="center"/>
          </w:tcPr>
          <w:p w14:paraId="41E3757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64CC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7523A38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1B8F008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1004FC8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公共场所</w:t>
            </w:r>
          </w:p>
        </w:tc>
        <w:tc>
          <w:tcPr>
            <w:tcW w:w="6136" w:type="dxa"/>
            <w:vAlign w:val="center"/>
          </w:tcPr>
          <w:p w14:paraId="59C8DD65">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走廊灯、卫生间灯、大厅灯、教室灯、楼梯灯等</w:t>
            </w:r>
          </w:p>
        </w:tc>
        <w:tc>
          <w:tcPr>
            <w:tcW w:w="563" w:type="dxa"/>
            <w:vAlign w:val="center"/>
          </w:tcPr>
          <w:p w14:paraId="013919F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761B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1B47280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restart"/>
            <w:vAlign w:val="center"/>
          </w:tcPr>
          <w:p w14:paraId="262FBF8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w:t>
            </w:r>
          </w:p>
        </w:tc>
        <w:tc>
          <w:tcPr>
            <w:tcW w:w="1607" w:type="dxa"/>
            <w:vAlign w:val="center"/>
          </w:tcPr>
          <w:p w14:paraId="6B55DB0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上水</w:t>
            </w:r>
          </w:p>
        </w:tc>
        <w:tc>
          <w:tcPr>
            <w:tcW w:w="6136" w:type="dxa"/>
            <w:vAlign w:val="center"/>
          </w:tcPr>
          <w:p w14:paraId="53BC4786">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洗漱池、卫生间、开水间、拖把池等</w:t>
            </w:r>
          </w:p>
        </w:tc>
        <w:tc>
          <w:tcPr>
            <w:tcW w:w="563" w:type="dxa"/>
            <w:vAlign w:val="center"/>
          </w:tcPr>
          <w:p w14:paraId="0FC980E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7157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45E2DD6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11137CF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58607DA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下水</w:t>
            </w:r>
          </w:p>
        </w:tc>
        <w:tc>
          <w:tcPr>
            <w:tcW w:w="6136" w:type="dxa"/>
            <w:vAlign w:val="center"/>
          </w:tcPr>
          <w:p w14:paraId="2B8B5D86">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蹲便、地漏、下水软管等</w:t>
            </w:r>
          </w:p>
        </w:tc>
        <w:tc>
          <w:tcPr>
            <w:tcW w:w="563" w:type="dxa"/>
            <w:vAlign w:val="center"/>
          </w:tcPr>
          <w:p w14:paraId="756302F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5403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27B0D33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041E25B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643855D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暖气</w:t>
            </w:r>
          </w:p>
        </w:tc>
        <w:tc>
          <w:tcPr>
            <w:tcW w:w="6136" w:type="dxa"/>
            <w:vAlign w:val="center"/>
          </w:tcPr>
          <w:p w14:paraId="080858C7">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温度、漏水、管网、阀门等</w:t>
            </w:r>
          </w:p>
        </w:tc>
        <w:tc>
          <w:tcPr>
            <w:tcW w:w="563" w:type="dxa"/>
            <w:vAlign w:val="center"/>
          </w:tcPr>
          <w:p w14:paraId="54817A7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47AC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72C42E5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Align w:val="center"/>
          </w:tcPr>
          <w:p w14:paraId="31E8F58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基础</w:t>
            </w:r>
          </w:p>
        </w:tc>
        <w:tc>
          <w:tcPr>
            <w:tcW w:w="1607" w:type="dxa"/>
            <w:vAlign w:val="center"/>
          </w:tcPr>
          <w:p w14:paraId="6915D0B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房屋</w:t>
            </w:r>
          </w:p>
        </w:tc>
        <w:tc>
          <w:tcPr>
            <w:tcW w:w="6136" w:type="dxa"/>
            <w:vAlign w:val="center"/>
          </w:tcPr>
          <w:p w14:paraId="6924F6F0">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墙面、地面、屋顶、幕墙玻璃等</w:t>
            </w:r>
          </w:p>
        </w:tc>
        <w:tc>
          <w:tcPr>
            <w:tcW w:w="563" w:type="dxa"/>
            <w:vAlign w:val="center"/>
          </w:tcPr>
          <w:p w14:paraId="1CACBAC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0AB3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07259B39">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restart"/>
            <w:vAlign w:val="center"/>
          </w:tcPr>
          <w:p w14:paraId="328B00B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五金</w:t>
            </w:r>
          </w:p>
        </w:tc>
        <w:tc>
          <w:tcPr>
            <w:tcW w:w="1607" w:type="dxa"/>
            <w:vAlign w:val="center"/>
          </w:tcPr>
          <w:p w14:paraId="694D180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吊顶</w:t>
            </w:r>
          </w:p>
        </w:tc>
        <w:tc>
          <w:tcPr>
            <w:tcW w:w="6136" w:type="dxa"/>
            <w:vAlign w:val="center"/>
          </w:tcPr>
          <w:p w14:paraId="47C99AC5">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卫生间、走廊、大厅等</w:t>
            </w:r>
          </w:p>
        </w:tc>
        <w:tc>
          <w:tcPr>
            <w:tcW w:w="563" w:type="dxa"/>
            <w:vAlign w:val="center"/>
          </w:tcPr>
          <w:p w14:paraId="73CC06C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1069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7803C2D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29BBEE3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497DE9E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门、窗</w:t>
            </w:r>
          </w:p>
        </w:tc>
        <w:tc>
          <w:tcPr>
            <w:tcW w:w="6136" w:type="dxa"/>
            <w:vAlign w:val="center"/>
          </w:tcPr>
          <w:p w14:paraId="04AA18B4">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楼顶门、教室、楼梯、进楼大门、配电间门、厕所等</w:t>
            </w:r>
          </w:p>
        </w:tc>
        <w:tc>
          <w:tcPr>
            <w:tcW w:w="563" w:type="dxa"/>
            <w:vAlign w:val="center"/>
          </w:tcPr>
          <w:p w14:paraId="34509CA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21C4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restart"/>
            <w:vAlign w:val="center"/>
          </w:tcPr>
          <w:p w14:paraId="01CA87AB">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宿舍区</w:t>
            </w:r>
          </w:p>
        </w:tc>
        <w:tc>
          <w:tcPr>
            <w:tcW w:w="640" w:type="dxa"/>
            <w:vMerge w:val="restart"/>
            <w:vAlign w:val="center"/>
          </w:tcPr>
          <w:p w14:paraId="0003BDB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电</w:t>
            </w:r>
          </w:p>
        </w:tc>
        <w:tc>
          <w:tcPr>
            <w:tcW w:w="1607" w:type="dxa"/>
            <w:vAlign w:val="center"/>
          </w:tcPr>
          <w:p w14:paraId="7AF8C25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房间</w:t>
            </w:r>
          </w:p>
        </w:tc>
        <w:tc>
          <w:tcPr>
            <w:tcW w:w="6136" w:type="dxa"/>
            <w:vAlign w:val="center"/>
          </w:tcPr>
          <w:p w14:paraId="43BFE7B6">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灯具（房间灯、阳台灯）、电扇、插座、配电盒等</w:t>
            </w:r>
          </w:p>
        </w:tc>
        <w:tc>
          <w:tcPr>
            <w:tcW w:w="563" w:type="dxa"/>
            <w:vAlign w:val="center"/>
          </w:tcPr>
          <w:p w14:paraId="131C969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r>
      <w:tr w14:paraId="58F4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0775A55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55CA31D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096EFB9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公共场所</w:t>
            </w:r>
          </w:p>
        </w:tc>
        <w:tc>
          <w:tcPr>
            <w:tcW w:w="6136" w:type="dxa"/>
            <w:vAlign w:val="center"/>
          </w:tcPr>
          <w:p w14:paraId="121E2744">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洗衣房、走廊灯、卫生间灯、大厅灯、楼梯灯等</w:t>
            </w:r>
          </w:p>
        </w:tc>
        <w:tc>
          <w:tcPr>
            <w:tcW w:w="563" w:type="dxa"/>
            <w:vAlign w:val="center"/>
          </w:tcPr>
          <w:p w14:paraId="21CA5DE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3B8B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659BAF4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restart"/>
            <w:vAlign w:val="center"/>
          </w:tcPr>
          <w:p w14:paraId="4774F999">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w:t>
            </w:r>
          </w:p>
        </w:tc>
        <w:tc>
          <w:tcPr>
            <w:tcW w:w="1607" w:type="dxa"/>
            <w:vAlign w:val="center"/>
          </w:tcPr>
          <w:p w14:paraId="26FFFEA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上水</w:t>
            </w:r>
          </w:p>
        </w:tc>
        <w:tc>
          <w:tcPr>
            <w:tcW w:w="6136" w:type="dxa"/>
            <w:vAlign w:val="center"/>
          </w:tcPr>
          <w:p w14:paraId="435BD766">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洗漱池、卫生间、开水间、拖把池等</w:t>
            </w:r>
          </w:p>
        </w:tc>
        <w:tc>
          <w:tcPr>
            <w:tcW w:w="563" w:type="dxa"/>
            <w:vAlign w:val="center"/>
          </w:tcPr>
          <w:p w14:paraId="4A59A47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5F69F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18793B0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4D8CED7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78F5484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下水</w:t>
            </w:r>
          </w:p>
        </w:tc>
        <w:tc>
          <w:tcPr>
            <w:tcW w:w="6136" w:type="dxa"/>
            <w:vAlign w:val="center"/>
          </w:tcPr>
          <w:p w14:paraId="1FD6D9B0">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蹲便、地漏、下水软管等</w:t>
            </w:r>
          </w:p>
        </w:tc>
        <w:tc>
          <w:tcPr>
            <w:tcW w:w="563" w:type="dxa"/>
            <w:vAlign w:val="center"/>
          </w:tcPr>
          <w:p w14:paraId="220FD3F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1478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6C601D0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13D2A26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Align w:val="center"/>
          </w:tcPr>
          <w:p w14:paraId="26DCDE9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暖气</w:t>
            </w:r>
          </w:p>
        </w:tc>
        <w:tc>
          <w:tcPr>
            <w:tcW w:w="6136" w:type="dxa"/>
            <w:vAlign w:val="center"/>
          </w:tcPr>
          <w:p w14:paraId="242A7926">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温度、漏水、管网、阀门等</w:t>
            </w:r>
          </w:p>
        </w:tc>
        <w:tc>
          <w:tcPr>
            <w:tcW w:w="563" w:type="dxa"/>
            <w:vAlign w:val="center"/>
          </w:tcPr>
          <w:p w14:paraId="765635A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r>
      <w:tr w14:paraId="1B88D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09830EE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Align w:val="center"/>
          </w:tcPr>
          <w:p w14:paraId="3CC1E88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基础</w:t>
            </w:r>
          </w:p>
        </w:tc>
        <w:tc>
          <w:tcPr>
            <w:tcW w:w="1607" w:type="dxa"/>
            <w:vAlign w:val="center"/>
          </w:tcPr>
          <w:p w14:paraId="7222DAC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房屋</w:t>
            </w:r>
          </w:p>
        </w:tc>
        <w:tc>
          <w:tcPr>
            <w:tcW w:w="6136" w:type="dxa"/>
            <w:vAlign w:val="center"/>
          </w:tcPr>
          <w:p w14:paraId="413DB228">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墙面、地面、屋顶、幕墙玻璃等</w:t>
            </w:r>
          </w:p>
        </w:tc>
        <w:tc>
          <w:tcPr>
            <w:tcW w:w="563" w:type="dxa"/>
            <w:vAlign w:val="center"/>
          </w:tcPr>
          <w:p w14:paraId="392A09B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3310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28B5236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restart"/>
            <w:vAlign w:val="center"/>
          </w:tcPr>
          <w:p w14:paraId="73DAE90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五金</w:t>
            </w:r>
          </w:p>
        </w:tc>
        <w:tc>
          <w:tcPr>
            <w:tcW w:w="1607" w:type="dxa"/>
            <w:vMerge w:val="restart"/>
            <w:vAlign w:val="center"/>
          </w:tcPr>
          <w:p w14:paraId="6142B6D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五金</w:t>
            </w:r>
          </w:p>
        </w:tc>
        <w:tc>
          <w:tcPr>
            <w:tcW w:w="6136" w:type="dxa"/>
            <w:vAlign w:val="center"/>
          </w:tcPr>
          <w:p w14:paraId="450F7079">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吊顶（卫生间、大厅）等</w:t>
            </w:r>
          </w:p>
        </w:tc>
        <w:tc>
          <w:tcPr>
            <w:tcW w:w="563" w:type="dxa"/>
            <w:vAlign w:val="center"/>
          </w:tcPr>
          <w:p w14:paraId="365112E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6330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5FE7E74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769E376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Merge w:val="continue"/>
            <w:vAlign w:val="center"/>
          </w:tcPr>
          <w:p w14:paraId="0A3B44D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136" w:type="dxa"/>
            <w:vAlign w:val="center"/>
          </w:tcPr>
          <w:p w14:paraId="3DF25A58">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门、窗（楼顶门、教室、楼梯、进楼大门、配电间、厕所）等</w:t>
            </w:r>
          </w:p>
        </w:tc>
        <w:tc>
          <w:tcPr>
            <w:tcW w:w="563" w:type="dxa"/>
            <w:vAlign w:val="center"/>
          </w:tcPr>
          <w:p w14:paraId="3BA930F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6D47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08ACBFE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250B5C8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Merge w:val="continue"/>
            <w:vAlign w:val="center"/>
          </w:tcPr>
          <w:p w14:paraId="58A84E7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136" w:type="dxa"/>
            <w:vAlign w:val="center"/>
          </w:tcPr>
          <w:p w14:paraId="51E74202">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zh-CN"/>
              </w:rPr>
              <w:t>床</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zh-CN"/>
              </w:rPr>
              <w:t>床架、床板、爬梯</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zh-CN"/>
              </w:rPr>
              <w:t>等</w:t>
            </w:r>
          </w:p>
        </w:tc>
        <w:tc>
          <w:tcPr>
            <w:tcW w:w="563" w:type="dxa"/>
            <w:vAlign w:val="center"/>
          </w:tcPr>
          <w:p w14:paraId="1649FF8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0F9A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773C602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Merge w:val="continue"/>
            <w:vAlign w:val="center"/>
          </w:tcPr>
          <w:p w14:paraId="5F995779">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1607" w:type="dxa"/>
            <w:vMerge w:val="continue"/>
            <w:vAlign w:val="center"/>
          </w:tcPr>
          <w:p w14:paraId="2B30B39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136" w:type="dxa"/>
            <w:vAlign w:val="center"/>
          </w:tcPr>
          <w:p w14:paraId="622877E1">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zh-CN"/>
              </w:rPr>
              <w:t>家具</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zh-CN"/>
              </w:rPr>
              <w:t>桌子、柜子、凳子</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zh-CN"/>
              </w:rPr>
              <w:t>等</w:t>
            </w:r>
          </w:p>
        </w:tc>
        <w:tc>
          <w:tcPr>
            <w:tcW w:w="563" w:type="dxa"/>
            <w:vAlign w:val="center"/>
          </w:tcPr>
          <w:p w14:paraId="39FCE9F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0648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restart"/>
            <w:vAlign w:val="center"/>
          </w:tcPr>
          <w:p w14:paraId="42B283F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室外区</w:t>
            </w:r>
          </w:p>
        </w:tc>
        <w:tc>
          <w:tcPr>
            <w:tcW w:w="640" w:type="dxa"/>
            <w:vAlign w:val="center"/>
          </w:tcPr>
          <w:p w14:paraId="398EEE0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电</w:t>
            </w:r>
          </w:p>
        </w:tc>
        <w:tc>
          <w:tcPr>
            <w:tcW w:w="7743" w:type="dxa"/>
            <w:gridSpan w:val="2"/>
            <w:vAlign w:val="center"/>
          </w:tcPr>
          <w:p w14:paraId="1DCAFED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路灯、配电柜</w:t>
            </w:r>
          </w:p>
        </w:tc>
        <w:tc>
          <w:tcPr>
            <w:tcW w:w="563" w:type="dxa"/>
            <w:vAlign w:val="center"/>
          </w:tcPr>
          <w:p w14:paraId="37AAEC50">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70C1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1ADC768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p>
        </w:tc>
        <w:tc>
          <w:tcPr>
            <w:tcW w:w="640" w:type="dxa"/>
            <w:vAlign w:val="center"/>
          </w:tcPr>
          <w:p w14:paraId="5565864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w:t>
            </w:r>
          </w:p>
        </w:tc>
        <w:tc>
          <w:tcPr>
            <w:tcW w:w="7743" w:type="dxa"/>
            <w:gridSpan w:val="2"/>
            <w:vAlign w:val="center"/>
          </w:tcPr>
          <w:p w14:paraId="652367E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自来水漏水、污水井冒水、井盖</w:t>
            </w:r>
            <w:r>
              <w:rPr>
                <w:rFonts w:hint="eastAsia" w:ascii="仿宋" w:hAnsi="仿宋" w:eastAsia="仿宋" w:cs="仿宋"/>
                <w:b w:val="0"/>
                <w:bCs/>
                <w:color w:val="auto"/>
                <w:sz w:val="24"/>
                <w:szCs w:val="24"/>
                <w:lang w:val="zh-CN"/>
              </w:rPr>
              <w:t>等</w:t>
            </w:r>
          </w:p>
        </w:tc>
        <w:tc>
          <w:tcPr>
            <w:tcW w:w="563" w:type="dxa"/>
            <w:vAlign w:val="center"/>
          </w:tcPr>
          <w:p w14:paraId="30CD404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r w14:paraId="77A8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92" w:type="dxa"/>
            <w:vMerge w:val="continue"/>
            <w:vAlign w:val="center"/>
          </w:tcPr>
          <w:p w14:paraId="764ADFD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40" w:type="dxa"/>
            <w:vAlign w:val="center"/>
          </w:tcPr>
          <w:p w14:paraId="51D6307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道路</w:t>
            </w:r>
          </w:p>
        </w:tc>
        <w:tc>
          <w:tcPr>
            <w:tcW w:w="7743" w:type="dxa"/>
            <w:gridSpan w:val="2"/>
            <w:vAlign w:val="center"/>
          </w:tcPr>
          <w:p w14:paraId="6FEC683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塌陷、地砖破损、路边石破损、充电车棚的维修</w:t>
            </w:r>
            <w:r>
              <w:rPr>
                <w:rFonts w:hint="eastAsia" w:ascii="仿宋" w:hAnsi="仿宋" w:eastAsia="仿宋" w:cs="仿宋"/>
                <w:b w:val="0"/>
                <w:bCs/>
                <w:color w:val="auto"/>
                <w:sz w:val="24"/>
                <w:szCs w:val="24"/>
                <w:lang w:val="zh-CN"/>
              </w:rPr>
              <w:t>等</w:t>
            </w:r>
          </w:p>
        </w:tc>
        <w:tc>
          <w:tcPr>
            <w:tcW w:w="563" w:type="dxa"/>
          </w:tcPr>
          <w:p w14:paraId="75B24DB5">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p>
        </w:tc>
      </w:tr>
    </w:tbl>
    <w:p w14:paraId="12C88111">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2.热力交换站站房管理与设施设备维护保养</w:t>
      </w:r>
    </w:p>
    <w:p w14:paraId="49B6D4F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highlight w:val="cyan"/>
          <w:lang w:eastAsia="zh-CN"/>
        </w:rPr>
      </w:pPr>
      <w:r>
        <w:rPr>
          <w:rFonts w:hint="eastAsia" w:ascii="仿宋" w:hAnsi="仿宋" w:eastAsia="仿宋" w:cs="仿宋"/>
          <w:bCs/>
          <w:color w:val="auto"/>
          <w:sz w:val="28"/>
          <w:szCs w:val="28"/>
        </w:rPr>
        <w:t>郑东校区教学区共有5个热力交换站站房、10台板式换热器及其相关配套设备对热源进行二次交换来保障供暖，服务内容主要为5个热力交换站站房管理与内部设施设备的维护保养等工作</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highlight w:val="none"/>
        </w:rPr>
        <w:t>年费用8万元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单列。具体位置及数量如下：</w:t>
      </w:r>
    </w:p>
    <w:tbl>
      <w:tblPr>
        <w:tblStyle w:val="53"/>
        <w:tblW w:w="9638" w:type="dxa"/>
        <w:jc w:val="center"/>
        <w:tblLayout w:type="fixed"/>
        <w:tblCellMar>
          <w:top w:w="0" w:type="dxa"/>
          <w:left w:w="108" w:type="dxa"/>
          <w:bottom w:w="0" w:type="dxa"/>
          <w:right w:w="108" w:type="dxa"/>
        </w:tblCellMar>
      </w:tblPr>
      <w:tblGrid>
        <w:gridCol w:w="1251"/>
        <w:gridCol w:w="1770"/>
        <w:gridCol w:w="955"/>
        <w:gridCol w:w="1292"/>
        <w:gridCol w:w="965"/>
        <w:gridCol w:w="1157"/>
        <w:gridCol w:w="1157"/>
        <w:gridCol w:w="1091"/>
      </w:tblGrid>
      <w:tr w14:paraId="7E9B30AE">
        <w:tblPrEx>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vAlign w:val="center"/>
          </w:tcPr>
          <w:p w14:paraId="4F4A0C7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交换站位置</w:t>
            </w:r>
          </w:p>
        </w:tc>
        <w:tc>
          <w:tcPr>
            <w:tcW w:w="1770" w:type="dxa"/>
            <w:tcBorders>
              <w:top w:val="single" w:color="auto" w:sz="4" w:space="0"/>
              <w:left w:val="nil"/>
              <w:bottom w:val="single" w:color="auto" w:sz="4" w:space="0"/>
              <w:right w:val="single" w:color="auto" w:sz="4" w:space="0"/>
            </w:tcBorders>
            <w:vAlign w:val="center"/>
          </w:tcPr>
          <w:p w14:paraId="5BB09946">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板式换热器规格</w:t>
            </w:r>
          </w:p>
        </w:tc>
        <w:tc>
          <w:tcPr>
            <w:tcW w:w="955" w:type="dxa"/>
            <w:tcBorders>
              <w:top w:val="single" w:color="auto" w:sz="4" w:space="0"/>
              <w:left w:val="nil"/>
              <w:bottom w:val="single" w:color="auto" w:sz="4" w:space="0"/>
              <w:right w:val="single" w:color="auto" w:sz="4" w:space="0"/>
            </w:tcBorders>
            <w:vAlign w:val="center"/>
          </w:tcPr>
          <w:p w14:paraId="407BD023">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板式换热器台数</w:t>
            </w:r>
          </w:p>
        </w:tc>
        <w:tc>
          <w:tcPr>
            <w:tcW w:w="1292" w:type="dxa"/>
            <w:tcBorders>
              <w:top w:val="single" w:color="auto" w:sz="4" w:space="0"/>
              <w:left w:val="nil"/>
              <w:bottom w:val="single" w:color="auto" w:sz="4" w:space="0"/>
              <w:right w:val="single" w:color="auto" w:sz="4" w:space="0"/>
            </w:tcBorders>
            <w:vAlign w:val="center"/>
          </w:tcPr>
          <w:p w14:paraId="11FDC73B">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板式换热器清洗合计平方数</w:t>
            </w:r>
          </w:p>
        </w:tc>
        <w:tc>
          <w:tcPr>
            <w:tcW w:w="965" w:type="dxa"/>
            <w:tcBorders>
              <w:top w:val="single" w:color="auto" w:sz="4" w:space="0"/>
              <w:left w:val="nil"/>
              <w:bottom w:val="single" w:color="auto" w:sz="4" w:space="0"/>
              <w:right w:val="single" w:color="auto" w:sz="4" w:space="0"/>
            </w:tcBorders>
            <w:vAlign w:val="center"/>
          </w:tcPr>
          <w:p w14:paraId="6A6D6BFC">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补水系统保养套数</w:t>
            </w:r>
          </w:p>
        </w:tc>
        <w:tc>
          <w:tcPr>
            <w:tcW w:w="1157" w:type="dxa"/>
            <w:tcBorders>
              <w:top w:val="single" w:color="auto" w:sz="4" w:space="0"/>
              <w:left w:val="nil"/>
              <w:bottom w:val="single" w:color="auto" w:sz="4" w:space="0"/>
              <w:right w:val="single" w:color="auto" w:sz="4" w:space="0"/>
            </w:tcBorders>
            <w:vAlign w:val="center"/>
          </w:tcPr>
          <w:p w14:paraId="392A784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循环系统保养套数</w:t>
            </w:r>
          </w:p>
        </w:tc>
        <w:tc>
          <w:tcPr>
            <w:tcW w:w="1157" w:type="dxa"/>
            <w:tcBorders>
              <w:top w:val="single" w:color="auto" w:sz="4" w:space="0"/>
              <w:left w:val="nil"/>
              <w:bottom w:val="single" w:color="auto" w:sz="4" w:space="0"/>
              <w:right w:val="single" w:color="auto" w:sz="4" w:space="0"/>
            </w:tcBorders>
            <w:vAlign w:val="center"/>
          </w:tcPr>
          <w:p w14:paraId="14947D5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软水系统保养套数</w:t>
            </w:r>
          </w:p>
        </w:tc>
        <w:tc>
          <w:tcPr>
            <w:tcW w:w="1091" w:type="dxa"/>
            <w:tcBorders>
              <w:top w:val="single" w:color="auto" w:sz="4" w:space="0"/>
              <w:left w:val="nil"/>
              <w:bottom w:val="single" w:color="auto" w:sz="4" w:space="0"/>
              <w:right w:val="single" w:color="auto" w:sz="4" w:space="0"/>
            </w:tcBorders>
            <w:vAlign w:val="center"/>
          </w:tcPr>
          <w:p w14:paraId="44D3411B">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过滤器清洗个数</w:t>
            </w:r>
          </w:p>
        </w:tc>
      </w:tr>
      <w:tr w14:paraId="56A9E423">
        <w:tblPrEx>
          <w:tblCellMar>
            <w:top w:w="0" w:type="dxa"/>
            <w:left w:w="108" w:type="dxa"/>
            <w:bottom w:w="0" w:type="dxa"/>
            <w:right w:w="108" w:type="dxa"/>
          </w:tblCellMar>
        </w:tblPrEx>
        <w:trPr>
          <w:trHeight w:val="454" w:hRule="atLeast"/>
          <w:jc w:val="center"/>
        </w:trPr>
        <w:tc>
          <w:tcPr>
            <w:tcW w:w="1251" w:type="dxa"/>
            <w:tcBorders>
              <w:top w:val="nil"/>
              <w:left w:val="single" w:color="auto" w:sz="4" w:space="0"/>
              <w:bottom w:val="single" w:color="auto" w:sz="4" w:space="0"/>
              <w:right w:val="single" w:color="auto" w:sz="4" w:space="0"/>
            </w:tcBorders>
            <w:vAlign w:val="center"/>
          </w:tcPr>
          <w:p w14:paraId="7EEB9CAC">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一期浴池</w:t>
            </w:r>
          </w:p>
        </w:tc>
        <w:tc>
          <w:tcPr>
            <w:tcW w:w="1770" w:type="dxa"/>
            <w:tcBorders>
              <w:top w:val="nil"/>
              <w:left w:val="nil"/>
              <w:bottom w:val="single" w:color="auto" w:sz="4" w:space="0"/>
              <w:right w:val="single" w:color="auto" w:sz="4" w:space="0"/>
            </w:tcBorders>
            <w:vAlign w:val="center"/>
          </w:tcPr>
          <w:p w14:paraId="0258926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100平方板式</w:t>
            </w:r>
          </w:p>
        </w:tc>
        <w:tc>
          <w:tcPr>
            <w:tcW w:w="955" w:type="dxa"/>
            <w:tcBorders>
              <w:top w:val="nil"/>
              <w:left w:val="nil"/>
              <w:bottom w:val="single" w:color="auto" w:sz="4" w:space="0"/>
              <w:right w:val="single" w:color="auto" w:sz="4" w:space="0"/>
            </w:tcBorders>
            <w:vAlign w:val="center"/>
          </w:tcPr>
          <w:p w14:paraId="436A9DB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292" w:type="dxa"/>
            <w:tcBorders>
              <w:top w:val="nil"/>
              <w:left w:val="nil"/>
              <w:bottom w:val="single" w:color="auto" w:sz="4" w:space="0"/>
              <w:right w:val="single" w:color="auto" w:sz="4" w:space="0"/>
            </w:tcBorders>
            <w:vAlign w:val="center"/>
          </w:tcPr>
          <w:p w14:paraId="43225DA3">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200</w:t>
            </w:r>
          </w:p>
        </w:tc>
        <w:tc>
          <w:tcPr>
            <w:tcW w:w="965" w:type="dxa"/>
            <w:tcBorders>
              <w:top w:val="nil"/>
              <w:left w:val="nil"/>
              <w:bottom w:val="single" w:color="auto" w:sz="4" w:space="0"/>
              <w:right w:val="single" w:color="auto" w:sz="4" w:space="0"/>
            </w:tcBorders>
            <w:vAlign w:val="center"/>
          </w:tcPr>
          <w:p w14:paraId="61E714C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tcBorders>
              <w:top w:val="nil"/>
              <w:left w:val="nil"/>
              <w:bottom w:val="single" w:color="auto" w:sz="4" w:space="0"/>
              <w:right w:val="single" w:color="auto" w:sz="4" w:space="0"/>
            </w:tcBorders>
            <w:vAlign w:val="center"/>
          </w:tcPr>
          <w:p w14:paraId="42FCC58B">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w:t>
            </w:r>
          </w:p>
        </w:tc>
        <w:tc>
          <w:tcPr>
            <w:tcW w:w="1157" w:type="dxa"/>
            <w:tcBorders>
              <w:top w:val="nil"/>
              <w:left w:val="nil"/>
              <w:bottom w:val="single" w:color="auto" w:sz="4" w:space="0"/>
              <w:right w:val="single" w:color="auto" w:sz="4" w:space="0"/>
            </w:tcBorders>
            <w:vAlign w:val="center"/>
          </w:tcPr>
          <w:p w14:paraId="33531D9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91" w:type="dxa"/>
            <w:tcBorders>
              <w:top w:val="nil"/>
              <w:left w:val="nil"/>
              <w:bottom w:val="single" w:color="auto" w:sz="4" w:space="0"/>
              <w:right w:val="single" w:color="auto" w:sz="4" w:space="0"/>
            </w:tcBorders>
            <w:vAlign w:val="center"/>
          </w:tcPr>
          <w:p w14:paraId="2D963901">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r>
      <w:tr w14:paraId="68349A00">
        <w:tblPrEx>
          <w:tblCellMar>
            <w:top w:w="0" w:type="dxa"/>
            <w:left w:w="108" w:type="dxa"/>
            <w:bottom w:w="0" w:type="dxa"/>
            <w:right w:w="108" w:type="dxa"/>
          </w:tblCellMar>
        </w:tblPrEx>
        <w:trPr>
          <w:trHeight w:val="454" w:hRule="atLeast"/>
          <w:jc w:val="center"/>
        </w:trPr>
        <w:tc>
          <w:tcPr>
            <w:tcW w:w="1251" w:type="dxa"/>
            <w:tcBorders>
              <w:top w:val="nil"/>
              <w:left w:val="single" w:color="auto" w:sz="4" w:space="0"/>
              <w:bottom w:val="single" w:color="auto" w:sz="4" w:space="0"/>
              <w:right w:val="single" w:color="auto" w:sz="4" w:space="0"/>
            </w:tcBorders>
            <w:vAlign w:val="center"/>
          </w:tcPr>
          <w:p w14:paraId="122C727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二号教学楼地下室</w:t>
            </w:r>
          </w:p>
        </w:tc>
        <w:tc>
          <w:tcPr>
            <w:tcW w:w="1770" w:type="dxa"/>
            <w:tcBorders>
              <w:top w:val="nil"/>
              <w:left w:val="nil"/>
              <w:bottom w:val="single" w:color="auto" w:sz="4" w:space="0"/>
              <w:right w:val="single" w:color="auto" w:sz="4" w:space="0"/>
            </w:tcBorders>
            <w:vAlign w:val="center"/>
          </w:tcPr>
          <w:p w14:paraId="5B9594B1">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80平方板式</w:t>
            </w:r>
          </w:p>
        </w:tc>
        <w:tc>
          <w:tcPr>
            <w:tcW w:w="955" w:type="dxa"/>
            <w:tcBorders>
              <w:top w:val="nil"/>
              <w:left w:val="nil"/>
              <w:bottom w:val="single" w:color="auto" w:sz="4" w:space="0"/>
              <w:right w:val="single" w:color="auto" w:sz="4" w:space="0"/>
            </w:tcBorders>
            <w:vAlign w:val="center"/>
          </w:tcPr>
          <w:p w14:paraId="771042B3">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292" w:type="dxa"/>
            <w:tcBorders>
              <w:top w:val="nil"/>
              <w:left w:val="nil"/>
              <w:bottom w:val="single" w:color="auto" w:sz="4" w:space="0"/>
              <w:right w:val="single" w:color="auto" w:sz="4" w:space="0"/>
            </w:tcBorders>
            <w:vAlign w:val="center"/>
          </w:tcPr>
          <w:p w14:paraId="06AA7DF2">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80</w:t>
            </w:r>
          </w:p>
        </w:tc>
        <w:tc>
          <w:tcPr>
            <w:tcW w:w="965" w:type="dxa"/>
            <w:tcBorders>
              <w:top w:val="nil"/>
              <w:left w:val="nil"/>
              <w:bottom w:val="single" w:color="auto" w:sz="4" w:space="0"/>
              <w:right w:val="single" w:color="auto" w:sz="4" w:space="0"/>
            </w:tcBorders>
            <w:vAlign w:val="center"/>
          </w:tcPr>
          <w:p w14:paraId="2555D21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tcBorders>
              <w:top w:val="nil"/>
              <w:left w:val="nil"/>
              <w:bottom w:val="single" w:color="auto" w:sz="4" w:space="0"/>
              <w:right w:val="single" w:color="auto" w:sz="4" w:space="0"/>
            </w:tcBorders>
            <w:vAlign w:val="center"/>
          </w:tcPr>
          <w:p w14:paraId="35CC8067">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tcBorders>
              <w:top w:val="nil"/>
              <w:left w:val="nil"/>
              <w:bottom w:val="single" w:color="auto" w:sz="4" w:space="0"/>
              <w:right w:val="single" w:color="auto" w:sz="4" w:space="0"/>
            </w:tcBorders>
            <w:vAlign w:val="center"/>
          </w:tcPr>
          <w:p w14:paraId="00838688">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91" w:type="dxa"/>
            <w:tcBorders>
              <w:top w:val="nil"/>
              <w:left w:val="nil"/>
              <w:bottom w:val="single" w:color="auto" w:sz="4" w:space="0"/>
              <w:right w:val="single" w:color="auto" w:sz="4" w:space="0"/>
            </w:tcBorders>
            <w:vAlign w:val="center"/>
          </w:tcPr>
          <w:p w14:paraId="39F01C8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r>
      <w:tr w14:paraId="426197A3">
        <w:tblPrEx>
          <w:tblCellMar>
            <w:top w:w="0" w:type="dxa"/>
            <w:left w:w="108" w:type="dxa"/>
            <w:bottom w:w="0" w:type="dxa"/>
            <w:right w:w="108" w:type="dxa"/>
          </w:tblCellMar>
        </w:tblPrEx>
        <w:trPr>
          <w:trHeight w:val="454" w:hRule="atLeast"/>
          <w:jc w:val="center"/>
        </w:trPr>
        <w:tc>
          <w:tcPr>
            <w:tcW w:w="1251" w:type="dxa"/>
            <w:tcBorders>
              <w:top w:val="nil"/>
              <w:left w:val="single" w:color="auto" w:sz="4" w:space="0"/>
              <w:bottom w:val="single" w:color="auto" w:sz="4" w:space="0"/>
              <w:right w:val="single" w:color="auto" w:sz="4" w:space="0"/>
            </w:tcBorders>
            <w:vAlign w:val="center"/>
          </w:tcPr>
          <w:p w14:paraId="379FC24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一食堂</w:t>
            </w:r>
          </w:p>
        </w:tc>
        <w:tc>
          <w:tcPr>
            <w:tcW w:w="1770" w:type="dxa"/>
            <w:tcBorders>
              <w:top w:val="nil"/>
              <w:left w:val="nil"/>
              <w:bottom w:val="single" w:color="auto" w:sz="4" w:space="0"/>
              <w:right w:val="single" w:color="auto" w:sz="4" w:space="0"/>
            </w:tcBorders>
            <w:vAlign w:val="center"/>
          </w:tcPr>
          <w:p w14:paraId="61520C5D">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70平方板式</w:t>
            </w:r>
          </w:p>
        </w:tc>
        <w:tc>
          <w:tcPr>
            <w:tcW w:w="955" w:type="dxa"/>
            <w:tcBorders>
              <w:top w:val="nil"/>
              <w:left w:val="nil"/>
              <w:bottom w:val="single" w:color="auto" w:sz="4" w:space="0"/>
              <w:right w:val="single" w:color="auto" w:sz="4" w:space="0"/>
            </w:tcBorders>
            <w:vAlign w:val="center"/>
          </w:tcPr>
          <w:p w14:paraId="34AA371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292" w:type="dxa"/>
            <w:tcBorders>
              <w:top w:val="nil"/>
              <w:left w:val="nil"/>
              <w:bottom w:val="single" w:color="auto" w:sz="4" w:space="0"/>
              <w:right w:val="single" w:color="auto" w:sz="4" w:space="0"/>
            </w:tcBorders>
            <w:vAlign w:val="center"/>
          </w:tcPr>
          <w:p w14:paraId="7FE2B79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140</w:t>
            </w:r>
          </w:p>
        </w:tc>
        <w:tc>
          <w:tcPr>
            <w:tcW w:w="965" w:type="dxa"/>
            <w:tcBorders>
              <w:top w:val="nil"/>
              <w:left w:val="nil"/>
              <w:bottom w:val="single" w:color="auto" w:sz="4" w:space="0"/>
              <w:right w:val="single" w:color="auto" w:sz="4" w:space="0"/>
            </w:tcBorders>
            <w:vAlign w:val="center"/>
          </w:tcPr>
          <w:p w14:paraId="656CAD6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tcBorders>
              <w:top w:val="nil"/>
              <w:left w:val="nil"/>
              <w:bottom w:val="single" w:color="auto" w:sz="4" w:space="0"/>
              <w:right w:val="single" w:color="auto" w:sz="4" w:space="0"/>
            </w:tcBorders>
            <w:vAlign w:val="center"/>
          </w:tcPr>
          <w:p w14:paraId="3973A3B3">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w:t>
            </w:r>
          </w:p>
        </w:tc>
        <w:tc>
          <w:tcPr>
            <w:tcW w:w="1157" w:type="dxa"/>
            <w:tcBorders>
              <w:top w:val="nil"/>
              <w:left w:val="nil"/>
              <w:bottom w:val="single" w:color="auto" w:sz="4" w:space="0"/>
              <w:right w:val="single" w:color="auto" w:sz="4" w:space="0"/>
            </w:tcBorders>
            <w:vAlign w:val="center"/>
          </w:tcPr>
          <w:p w14:paraId="43DC10A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91" w:type="dxa"/>
            <w:tcBorders>
              <w:top w:val="nil"/>
              <w:left w:val="nil"/>
              <w:bottom w:val="single" w:color="auto" w:sz="4" w:space="0"/>
              <w:right w:val="single" w:color="auto" w:sz="4" w:space="0"/>
            </w:tcBorders>
            <w:vAlign w:val="center"/>
          </w:tcPr>
          <w:p w14:paraId="60AA4106">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r>
      <w:tr w14:paraId="7C67A5DF">
        <w:tblPrEx>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vAlign w:val="center"/>
          </w:tcPr>
          <w:p w14:paraId="768A36C5">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科研楼地下室</w:t>
            </w:r>
          </w:p>
        </w:tc>
        <w:tc>
          <w:tcPr>
            <w:tcW w:w="1770" w:type="dxa"/>
            <w:tcBorders>
              <w:top w:val="single" w:color="auto" w:sz="4" w:space="0"/>
              <w:left w:val="nil"/>
              <w:bottom w:val="single" w:color="auto" w:sz="4" w:space="0"/>
              <w:right w:val="single" w:color="auto" w:sz="4" w:space="0"/>
            </w:tcBorders>
            <w:vAlign w:val="center"/>
          </w:tcPr>
          <w:p w14:paraId="1730357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64平方板式</w:t>
            </w:r>
          </w:p>
        </w:tc>
        <w:tc>
          <w:tcPr>
            <w:tcW w:w="955" w:type="dxa"/>
            <w:tcBorders>
              <w:top w:val="single" w:color="auto" w:sz="4" w:space="0"/>
              <w:left w:val="nil"/>
              <w:bottom w:val="single" w:color="auto" w:sz="4" w:space="0"/>
              <w:right w:val="single" w:color="auto" w:sz="4" w:space="0"/>
            </w:tcBorders>
            <w:vAlign w:val="center"/>
          </w:tcPr>
          <w:p w14:paraId="53E7442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292" w:type="dxa"/>
            <w:tcBorders>
              <w:top w:val="single" w:color="auto" w:sz="4" w:space="0"/>
              <w:left w:val="nil"/>
              <w:bottom w:val="single" w:color="auto" w:sz="4" w:space="0"/>
              <w:right w:val="single" w:color="auto" w:sz="4" w:space="0"/>
            </w:tcBorders>
            <w:vAlign w:val="center"/>
          </w:tcPr>
          <w:p w14:paraId="09A91B8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128</w:t>
            </w:r>
          </w:p>
        </w:tc>
        <w:tc>
          <w:tcPr>
            <w:tcW w:w="965" w:type="dxa"/>
            <w:tcBorders>
              <w:top w:val="single" w:color="auto" w:sz="4" w:space="0"/>
              <w:left w:val="nil"/>
              <w:bottom w:val="single" w:color="auto" w:sz="4" w:space="0"/>
              <w:right w:val="single" w:color="auto" w:sz="4" w:space="0"/>
            </w:tcBorders>
            <w:vAlign w:val="center"/>
          </w:tcPr>
          <w:p w14:paraId="3FC2A8ED">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tcBorders>
              <w:top w:val="single" w:color="auto" w:sz="4" w:space="0"/>
              <w:left w:val="nil"/>
              <w:bottom w:val="single" w:color="auto" w:sz="4" w:space="0"/>
              <w:right w:val="single" w:color="auto" w:sz="4" w:space="0"/>
            </w:tcBorders>
            <w:vAlign w:val="center"/>
          </w:tcPr>
          <w:p w14:paraId="5388789D">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w:t>
            </w:r>
          </w:p>
        </w:tc>
        <w:tc>
          <w:tcPr>
            <w:tcW w:w="1157" w:type="dxa"/>
            <w:tcBorders>
              <w:top w:val="single" w:color="auto" w:sz="4" w:space="0"/>
              <w:left w:val="nil"/>
              <w:bottom w:val="single" w:color="auto" w:sz="4" w:space="0"/>
              <w:right w:val="single" w:color="auto" w:sz="4" w:space="0"/>
            </w:tcBorders>
            <w:vAlign w:val="center"/>
          </w:tcPr>
          <w:p w14:paraId="4632CF32">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91" w:type="dxa"/>
            <w:tcBorders>
              <w:top w:val="single" w:color="auto" w:sz="4" w:space="0"/>
              <w:left w:val="nil"/>
              <w:bottom w:val="single" w:color="auto" w:sz="4" w:space="0"/>
              <w:right w:val="single" w:color="auto" w:sz="4" w:space="0"/>
            </w:tcBorders>
            <w:vAlign w:val="center"/>
          </w:tcPr>
          <w:p w14:paraId="5DD5E35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r>
      <w:tr w14:paraId="5429A8F2">
        <w:tblPrEx>
          <w:tblCellMar>
            <w:top w:w="0" w:type="dxa"/>
            <w:left w:w="108" w:type="dxa"/>
            <w:bottom w:w="0" w:type="dxa"/>
            <w:right w:w="108" w:type="dxa"/>
          </w:tblCellMar>
        </w:tblPrEx>
        <w:trPr>
          <w:trHeight w:val="454" w:hRule="atLeast"/>
          <w:jc w:val="center"/>
        </w:trPr>
        <w:tc>
          <w:tcPr>
            <w:tcW w:w="1251" w:type="dxa"/>
            <w:vMerge w:val="restart"/>
            <w:tcBorders>
              <w:top w:val="single" w:color="auto" w:sz="4" w:space="0"/>
              <w:left w:val="single" w:color="auto" w:sz="4" w:space="0"/>
              <w:bottom w:val="single" w:color="000000" w:sz="4" w:space="0"/>
              <w:right w:val="single" w:color="auto" w:sz="4" w:space="0"/>
            </w:tcBorders>
            <w:vAlign w:val="center"/>
          </w:tcPr>
          <w:p w14:paraId="05562EE2">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怡苑地下室</w:t>
            </w:r>
          </w:p>
        </w:tc>
        <w:tc>
          <w:tcPr>
            <w:tcW w:w="1770" w:type="dxa"/>
            <w:tcBorders>
              <w:top w:val="single" w:color="auto" w:sz="4" w:space="0"/>
              <w:left w:val="nil"/>
              <w:bottom w:val="single" w:color="auto" w:sz="4" w:space="0"/>
              <w:right w:val="single" w:color="auto" w:sz="4" w:space="0"/>
            </w:tcBorders>
            <w:vAlign w:val="center"/>
          </w:tcPr>
          <w:p w14:paraId="536ECAF2">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65平方板式</w:t>
            </w:r>
          </w:p>
        </w:tc>
        <w:tc>
          <w:tcPr>
            <w:tcW w:w="955" w:type="dxa"/>
            <w:tcBorders>
              <w:top w:val="single" w:color="auto" w:sz="4" w:space="0"/>
              <w:left w:val="nil"/>
              <w:bottom w:val="single" w:color="auto" w:sz="4" w:space="0"/>
              <w:right w:val="single" w:color="auto" w:sz="4" w:space="0"/>
            </w:tcBorders>
            <w:vAlign w:val="center"/>
          </w:tcPr>
          <w:p w14:paraId="0330DED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292" w:type="dxa"/>
            <w:tcBorders>
              <w:top w:val="single" w:color="auto" w:sz="4" w:space="0"/>
              <w:left w:val="nil"/>
              <w:bottom w:val="single" w:color="auto" w:sz="4" w:space="0"/>
              <w:right w:val="single" w:color="auto" w:sz="4" w:space="0"/>
            </w:tcBorders>
            <w:vAlign w:val="center"/>
          </w:tcPr>
          <w:p w14:paraId="5A77087F">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65</w:t>
            </w:r>
          </w:p>
        </w:tc>
        <w:tc>
          <w:tcPr>
            <w:tcW w:w="965" w:type="dxa"/>
            <w:vMerge w:val="restart"/>
            <w:tcBorders>
              <w:top w:val="single" w:color="auto" w:sz="4" w:space="0"/>
              <w:left w:val="single" w:color="auto" w:sz="4" w:space="0"/>
              <w:bottom w:val="single" w:color="000000" w:sz="4" w:space="0"/>
              <w:right w:val="single" w:color="auto" w:sz="4" w:space="0"/>
            </w:tcBorders>
            <w:vAlign w:val="center"/>
          </w:tcPr>
          <w:p w14:paraId="63708948">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157" w:type="dxa"/>
            <w:vMerge w:val="restart"/>
            <w:tcBorders>
              <w:top w:val="single" w:color="auto" w:sz="4" w:space="0"/>
              <w:left w:val="single" w:color="auto" w:sz="4" w:space="0"/>
              <w:bottom w:val="single" w:color="000000" w:sz="4" w:space="0"/>
              <w:right w:val="single" w:color="auto" w:sz="4" w:space="0"/>
            </w:tcBorders>
            <w:vAlign w:val="center"/>
          </w:tcPr>
          <w:p w14:paraId="4F1D75E6">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3</w:t>
            </w:r>
          </w:p>
        </w:tc>
        <w:tc>
          <w:tcPr>
            <w:tcW w:w="1157" w:type="dxa"/>
            <w:vMerge w:val="restart"/>
            <w:tcBorders>
              <w:top w:val="single" w:color="auto" w:sz="4" w:space="0"/>
              <w:left w:val="single" w:color="auto" w:sz="4" w:space="0"/>
              <w:bottom w:val="single" w:color="000000" w:sz="4" w:space="0"/>
              <w:right w:val="single" w:color="auto" w:sz="4" w:space="0"/>
            </w:tcBorders>
            <w:vAlign w:val="center"/>
          </w:tcPr>
          <w:p w14:paraId="28DBCCD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w:t>
            </w:r>
          </w:p>
        </w:tc>
        <w:tc>
          <w:tcPr>
            <w:tcW w:w="1091" w:type="dxa"/>
            <w:vMerge w:val="restart"/>
            <w:tcBorders>
              <w:top w:val="single" w:color="auto" w:sz="4" w:space="0"/>
              <w:left w:val="single" w:color="auto" w:sz="4" w:space="0"/>
              <w:bottom w:val="single" w:color="000000" w:sz="4" w:space="0"/>
              <w:right w:val="single" w:color="auto" w:sz="4" w:space="0"/>
            </w:tcBorders>
            <w:vAlign w:val="center"/>
          </w:tcPr>
          <w:p w14:paraId="07DEBAB3">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r>
      <w:tr w14:paraId="1298DB96">
        <w:tblPrEx>
          <w:tblCellMar>
            <w:top w:w="0" w:type="dxa"/>
            <w:left w:w="108" w:type="dxa"/>
            <w:bottom w:w="0" w:type="dxa"/>
            <w:right w:w="108" w:type="dxa"/>
          </w:tblCellMar>
        </w:tblPrEx>
        <w:trPr>
          <w:trHeight w:val="454" w:hRule="atLeast"/>
          <w:jc w:val="center"/>
        </w:trPr>
        <w:tc>
          <w:tcPr>
            <w:tcW w:w="1251" w:type="dxa"/>
            <w:vMerge w:val="continue"/>
            <w:tcBorders>
              <w:top w:val="nil"/>
              <w:left w:val="single" w:color="auto" w:sz="4" w:space="0"/>
              <w:bottom w:val="single" w:color="000000" w:sz="4" w:space="0"/>
              <w:right w:val="single" w:color="auto" w:sz="4" w:space="0"/>
            </w:tcBorders>
            <w:vAlign w:val="center"/>
          </w:tcPr>
          <w:p w14:paraId="10DD1A2A">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val="0"/>
                <w:color w:val="auto"/>
                <w:kern w:val="0"/>
                <w:sz w:val="24"/>
                <w:szCs w:val="24"/>
              </w:rPr>
            </w:pPr>
          </w:p>
        </w:tc>
        <w:tc>
          <w:tcPr>
            <w:tcW w:w="1770" w:type="dxa"/>
            <w:tcBorders>
              <w:top w:val="nil"/>
              <w:left w:val="nil"/>
              <w:bottom w:val="single" w:color="auto" w:sz="4" w:space="0"/>
              <w:right w:val="single" w:color="auto" w:sz="4" w:space="0"/>
            </w:tcBorders>
            <w:vAlign w:val="center"/>
          </w:tcPr>
          <w:p w14:paraId="1B85659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60平方板式</w:t>
            </w:r>
          </w:p>
        </w:tc>
        <w:tc>
          <w:tcPr>
            <w:tcW w:w="955" w:type="dxa"/>
            <w:tcBorders>
              <w:top w:val="nil"/>
              <w:left w:val="nil"/>
              <w:bottom w:val="single" w:color="auto" w:sz="4" w:space="0"/>
              <w:right w:val="single" w:color="auto" w:sz="4" w:space="0"/>
            </w:tcBorders>
            <w:vAlign w:val="center"/>
          </w:tcPr>
          <w:p w14:paraId="0D036741">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w:t>
            </w:r>
          </w:p>
        </w:tc>
        <w:tc>
          <w:tcPr>
            <w:tcW w:w="1292" w:type="dxa"/>
            <w:tcBorders>
              <w:top w:val="nil"/>
              <w:left w:val="nil"/>
              <w:bottom w:val="single" w:color="auto" w:sz="4" w:space="0"/>
              <w:right w:val="single" w:color="auto" w:sz="4" w:space="0"/>
            </w:tcBorders>
            <w:vAlign w:val="center"/>
          </w:tcPr>
          <w:p w14:paraId="662FAF9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120</w:t>
            </w:r>
          </w:p>
        </w:tc>
        <w:tc>
          <w:tcPr>
            <w:tcW w:w="965" w:type="dxa"/>
            <w:vMerge w:val="continue"/>
            <w:tcBorders>
              <w:top w:val="nil"/>
              <w:left w:val="single" w:color="auto" w:sz="4" w:space="0"/>
              <w:bottom w:val="single" w:color="000000" w:sz="4" w:space="0"/>
              <w:right w:val="single" w:color="auto" w:sz="4" w:space="0"/>
            </w:tcBorders>
            <w:vAlign w:val="center"/>
          </w:tcPr>
          <w:p w14:paraId="0B3E3D14">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val="0"/>
                <w:color w:val="auto"/>
                <w:kern w:val="0"/>
                <w:sz w:val="24"/>
                <w:szCs w:val="24"/>
              </w:rPr>
            </w:pPr>
          </w:p>
        </w:tc>
        <w:tc>
          <w:tcPr>
            <w:tcW w:w="1157" w:type="dxa"/>
            <w:vMerge w:val="continue"/>
            <w:tcBorders>
              <w:top w:val="nil"/>
              <w:left w:val="single" w:color="auto" w:sz="4" w:space="0"/>
              <w:bottom w:val="single" w:color="000000" w:sz="4" w:space="0"/>
              <w:right w:val="single" w:color="auto" w:sz="4" w:space="0"/>
            </w:tcBorders>
            <w:vAlign w:val="center"/>
          </w:tcPr>
          <w:p w14:paraId="6FF4A589">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val="0"/>
                <w:color w:val="auto"/>
                <w:kern w:val="0"/>
                <w:sz w:val="24"/>
                <w:szCs w:val="24"/>
              </w:rPr>
            </w:pPr>
          </w:p>
        </w:tc>
        <w:tc>
          <w:tcPr>
            <w:tcW w:w="1157" w:type="dxa"/>
            <w:vMerge w:val="continue"/>
            <w:tcBorders>
              <w:top w:val="nil"/>
              <w:left w:val="single" w:color="auto" w:sz="4" w:space="0"/>
              <w:bottom w:val="single" w:color="000000" w:sz="4" w:space="0"/>
              <w:right w:val="single" w:color="auto" w:sz="4" w:space="0"/>
            </w:tcBorders>
            <w:vAlign w:val="center"/>
          </w:tcPr>
          <w:p w14:paraId="1D9A1776">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val="0"/>
                <w:color w:val="auto"/>
                <w:kern w:val="0"/>
                <w:sz w:val="24"/>
                <w:szCs w:val="24"/>
              </w:rPr>
            </w:pPr>
          </w:p>
        </w:tc>
        <w:tc>
          <w:tcPr>
            <w:tcW w:w="1091" w:type="dxa"/>
            <w:vMerge w:val="continue"/>
            <w:tcBorders>
              <w:top w:val="nil"/>
              <w:left w:val="single" w:color="auto" w:sz="4" w:space="0"/>
              <w:bottom w:val="single" w:color="000000" w:sz="4" w:space="0"/>
              <w:right w:val="single" w:color="auto" w:sz="4" w:space="0"/>
            </w:tcBorders>
            <w:vAlign w:val="center"/>
          </w:tcPr>
          <w:p w14:paraId="7B7CFC8D">
            <w:pPr>
              <w:pageBreakBefore w:val="0"/>
              <w:widowControl/>
              <w:kinsoku/>
              <w:wordWrap/>
              <w:overflowPunct/>
              <w:topLinePunct w:val="0"/>
              <w:bidi w:val="0"/>
              <w:spacing w:line="360" w:lineRule="auto"/>
              <w:ind w:left="0" w:leftChars="0" w:right="0"/>
              <w:jc w:val="left"/>
              <w:rPr>
                <w:rFonts w:hint="eastAsia" w:ascii="仿宋" w:hAnsi="仿宋" w:eastAsia="仿宋" w:cs="仿宋"/>
                <w:b w:val="0"/>
                <w:bCs w:val="0"/>
                <w:color w:val="auto"/>
                <w:kern w:val="0"/>
                <w:sz w:val="24"/>
                <w:szCs w:val="24"/>
              </w:rPr>
            </w:pPr>
          </w:p>
        </w:tc>
      </w:tr>
      <w:tr w14:paraId="2BAAA5FF">
        <w:tblPrEx>
          <w:tblCellMar>
            <w:top w:w="0" w:type="dxa"/>
            <w:left w:w="108" w:type="dxa"/>
            <w:bottom w:w="0" w:type="dxa"/>
            <w:right w:w="108" w:type="dxa"/>
          </w:tblCellMar>
        </w:tblPrEx>
        <w:trPr>
          <w:trHeight w:val="454" w:hRule="atLeast"/>
          <w:jc w:val="center"/>
        </w:trPr>
        <w:tc>
          <w:tcPr>
            <w:tcW w:w="1251" w:type="dxa"/>
            <w:tcBorders>
              <w:top w:val="nil"/>
              <w:left w:val="single" w:color="auto" w:sz="4" w:space="0"/>
              <w:bottom w:val="single" w:color="auto" w:sz="4" w:space="0"/>
              <w:right w:val="single" w:color="auto" w:sz="4" w:space="0"/>
            </w:tcBorders>
            <w:vAlign w:val="center"/>
          </w:tcPr>
          <w:p w14:paraId="6A4B7064">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合计</w:t>
            </w:r>
          </w:p>
        </w:tc>
        <w:tc>
          <w:tcPr>
            <w:tcW w:w="1770" w:type="dxa"/>
            <w:tcBorders>
              <w:top w:val="nil"/>
              <w:left w:val="nil"/>
              <w:bottom w:val="single" w:color="auto" w:sz="4" w:space="0"/>
              <w:right w:val="single" w:color="auto" w:sz="4" w:space="0"/>
            </w:tcBorders>
            <w:vAlign w:val="center"/>
          </w:tcPr>
          <w:p w14:paraId="644A295D">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p>
        </w:tc>
        <w:tc>
          <w:tcPr>
            <w:tcW w:w="955" w:type="dxa"/>
            <w:tcBorders>
              <w:top w:val="nil"/>
              <w:left w:val="nil"/>
              <w:bottom w:val="single" w:color="auto" w:sz="4" w:space="0"/>
              <w:right w:val="single" w:color="auto" w:sz="4" w:space="0"/>
            </w:tcBorders>
            <w:vAlign w:val="center"/>
          </w:tcPr>
          <w:p w14:paraId="5A729B40">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w:t>
            </w:r>
          </w:p>
        </w:tc>
        <w:tc>
          <w:tcPr>
            <w:tcW w:w="1292" w:type="dxa"/>
            <w:tcBorders>
              <w:top w:val="nil"/>
              <w:left w:val="nil"/>
              <w:bottom w:val="single" w:color="auto" w:sz="4" w:space="0"/>
              <w:right w:val="single" w:color="auto" w:sz="4" w:space="0"/>
            </w:tcBorders>
            <w:vAlign w:val="center"/>
          </w:tcPr>
          <w:p w14:paraId="174397C9">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733</w:t>
            </w:r>
          </w:p>
        </w:tc>
        <w:tc>
          <w:tcPr>
            <w:tcW w:w="965" w:type="dxa"/>
            <w:tcBorders>
              <w:top w:val="nil"/>
              <w:left w:val="nil"/>
              <w:bottom w:val="single" w:color="auto" w:sz="4" w:space="0"/>
              <w:right w:val="single" w:color="auto" w:sz="4" w:space="0"/>
            </w:tcBorders>
            <w:vAlign w:val="center"/>
          </w:tcPr>
          <w:p w14:paraId="497552CA">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w:t>
            </w:r>
          </w:p>
        </w:tc>
        <w:tc>
          <w:tcPr>
            <w:tcW w:w="1157" w:type="dxa"/>
            <w:tcBorders>
              <w:top w:val="nil"/>
              <w:left w:val="nil"/>
              <w:bottom w:val="single" w:color="auto" w:sz="4" w:space="0"/>
              <w:right w:val="single" w:color="auto" w:sz="4" w:space="0"/>
            </w:tcBorders>
            <w:vAlign w:val="center"/>
          </w:tcPr>
          <w:p w14:paraId="2645E87E">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14</w:t>
            </w:r>
          </w:p>
        </w:tc>
        <w:tc>
          <w:tcPr>
            <w:tcW w:w="1157" w:type="dxa"/>
            <w:tcBorders>
              <w:top w:val="nil"/>
              <w:left w:val="nil"/>
              <w:bottom w:val="single" w:color="auto" w:sz="4" w:space="0"/>
              <w:right w:val="single" w:color="auto" w:sz="4" w:space="0"/>
            </w:tcBorders>
            <w:vAlign w:val="center"/>
          </w:tcPr>
          <w:p w14:paraId="69C29636">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w:t>
            </w:r>
          </w:p>
        </w:tc>
        <w:tc>
          <w:tcPr>
            <w:tcW w:w="1091" w:type="dxa"/>
            <w:tcBorders>
              <w:top w:val="nil"/>
              <w:left w:val="nil"/>
              <w:bottom w:val="single" w:color="auto" w:sz="4" w:space="0"/>
              <w:right w:val="single" w:color="auto" w:sz="4" w:space="0"/>
            </w:tcBorders>
            <w:vAlign w:val="center"/>
          </w:tcPr>
          <w:p w14:paraId="3A2335EE">
            <w:pPr>
              <w:pageBreakBefore w:val="0"/>
              <w:widowControl/>
              <w:kinsoku/>
              <w:wordWrap/>
              <w:overflowPunct/>
              <w:topLinePunct w:val="0"/>
              <w:bidi w:val="0"/>
              <w:spacing w:line="360" w:lineRule="auto"/>
              <w:ind w:left="0" w:leftChars="0" w:right="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10</w:t>
            </w:r>
          </w:p>
        </w:tc>
      </w:tr>
    </w:tbl>
    <w:p w14:paraId="597B6A89">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val="en-US" w:eastAsia="zh-CN"/>
        </w:rPr>
        <w:t>地源热泵空调系统</w:t>
      </w:r>
    </w:p>
    <w:p w14:paraId="19D9B6C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郑东校区教学区共有3个地源热泵空调站房，站房内设施设备情况为：综合实验楼2台约克YS空调机组于2011年11月份开始调试使用，至今已使用了14年时间；行政楼2台顿汉布什热泵空调机组于2013年1月份开始调试使用，至今已使用了12年时间，图书馆地源空调自2015年11月运行以来已10年时间。</w:t>
      </w:r>
    </w:p>
    <w:p w14:paraId="35D7AC8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highlight w:val="yellow"/>
          <w:lang w:eastAsia="zh-CN"/>
        </w:rPr>
      </w:pPr>
      <w:r>
        <w:rPr>
          <w:rFonts w:hint="eastAsia" w:ascii="仿宋" w:hAnsi="仿宋" w:eastAsia="仿宋" w:cs="仿宋"/>
          <w:bCs/>
          <w:color w:val="auto"/>
          <w:sz w:val="28"/>
          <w:szCs w:val="28"/>
        </w:rPr>
        <w:t>维修维护保养主要内容为：主机油品、滤芯和部分设备清洗以及风机滤网、管道滤网、回风口滤网、电磁阀、铝翅片、叶轮等的清洗与保养（空调机组油品和滤芯按原厂标准更换）。风机管网系统、主机冷凝器、冷却塔和蒸发器、管网系统常年维修维</w:t>
      </w:r>
      <w:r>
        <w:rPr>
          <w:rFonts w:hint="eastAsia" w:ascii="仿宋" w:hAnsi="仿宋" w:eastAsia="仿宋" w:cs="仿宋"/>
          <w:bCs/>
          <w:color w:val="auto"/>
          <w:sz w:val="28"/>
          <w:szCs w:val="28"/>
          <w:highlight w:val="none"/>
        </w:rPr>
        <w:t>护保养，年费用15万元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r>
        <w:rPr>
          <w:rFonts w:hint="eastAsia" w:ascii="仿宋" w:hAnsi="仿宋" w:eastAsia="仿宋" w:cs="仿宋"/>
          <w:bCs/>
          <w:color w:val="auto"/>
          <w:sz w:val="28"/>
          <w:szCs w:val="28"/>
          <w:highlight w:val="none"/>
          <w:lang w:eastAsia="zh-CN"/>
        </w:rPr>
        <w:t>。</w:t>
      </w:r>
    </w:p>
    <w:p w14:paraId="40CCFD4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详细情况见下表：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6"/>
        <w:gridCol w:w="2059"/>
        <w:gridCol w:w="3245"/>
        <w:gridCol w:w="1271"/>
        <w:gridCol w:w="2137"/>
      </w:tblGrid>
      <w:tr w14:paraId="270C49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48BAAA93">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2059" w:type="dxa"/>
            <w:vAlign w:val="center"/>
          </w:tcPr>
          <w:p w14:paraId="24DB9317">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服务名称</w:t>
            </w:r>
          </w:p>
        </w:tc>
        <w:tc>
          <w:tcPr>
            <w:tcW w:w="3245" w:type="dxa"/>
            <w:vAlign w:val="center"/>
          </w:tcPr>
          <w:p w14:paraId="68E25C63">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服务内容</w:t>
            </w:r>
          </w:p>
        </w:tc>
        <w:tc>
          <w:tcPr>
            <w:tcW w:w="1271" w:type="dxa"/>
            <w:vAlign w:val="center"/>
          </w:tcPr>
          <w:p w14:paraId="114B1592">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c>
          <w:tcPr>
            <w:tcW w:w="2137" w:type="dxa"/>
            <w:vAlign w:val="center"/>
          </w:tcPr>
          <w:p w14:paraId="56DF0445">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14:paraId="2E1A5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75921D21">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2059" w:type="dxa"/>
            <w:vAlign w:val="center"/>
          </w:tcPr>
          <w:p w14:paraId="314049DB">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共2台约克机组保养</w:t>
            </w:r>
          </w:p>
        </w:tc>
        <w:tc>
          <w:tcPr>
            <w:tcW w:w="3245" w:type="dxa"/>
            <w:vAlign w:val="center"/>
          </w:tcPr>
          <w:p w14:paraId="28451CA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包含润滑油6桶、干燥过滤器4个、油过滤器2个、引射过滤器2个、润滑脂2公斤</w:t>
            </w:r>
          </w:p>
        </w:tc>
        <w:tc>
          <w:tcPr>
            <w:tcW w:w="1271" w:type="dxa"/>
            <w:vAlign w:val="center"/>
          </w:tcPr>
          <w:p w14:paraId="0D84108D">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960</w:t>
            </w:r>
          </w:p>
        </w:tc>
        <w:tc>
          <w:tcPr>
            <w:tcW w:w="2137" w:type="dxa"/>
            <w:vAlign w:val="center"/>
          </w:tcPr>
          <w:p w14:paraId="77C63675">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3AEBC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58D512F4">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2059" w:type="dxa"/>
            <w:vAlign w:val="center"/>
          </w:tcPr>
          <w:p w14:paraId="1340956A">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共2台顿汉布什机组保养</w:t>
            </w:r>
          </w:p>
        </w:tc>
        <w:tc>
          <w:tcPr>
            <w:tcW w:w="3245" w:type="dxa"/>
            <w:vAlign w:val="center"/>
          </w:tcPr>
          <w:p w14:paraId="21FAEFF7">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包含润滑油10桶、干燥过滤器6个</w:t>
            </w:r>
          </w:p>
        </w:tc>
        <w:tc>
          <w:tcPr>
            <w:tcW w:w="1271" w:type="dxa"/>
            <w:vAlign w:val="center"/>
          </w:tcPr>
          <w:p w14:paraId="73052137">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689</w:t>
            </w:r>
          </w:p>
        </w:tc>
        <w:tc>
          <w:tcPr>
            <w:tcW w:w="2137" w:type="dxa"/>
            <w:vAlign w:val="center"/>
          </w:tcPr>
          <w:p w14:paraId="12785D1D">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7C257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68BB569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2059" w:type="dxa"/>
            <w:vAlign w:val="center"/>
          </w:tcPr>
          <w:p w14:paraId="5DB04D6E">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共3台麦克维尔机组保养</w:t>
            </w:r>
          </w:p>
        </w:tc>
        <w:tc>
          <w:tcPr>
            <w:tcW w:w="3245" w:type="dxa"/>
            <w:vAlign w:val="center"/>
          </w:tcPr>
          <w:p w14:paraId="59ADCF28">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包含润滑油25桶、干燥过滤器18个、油过滤器6个</w:t>
            </w:r>
          </w:p>
        </w:tc>
        <w:tc>
          <w:tcPr>
            <w:tcW w:w="1271" w:type="dxa"/>
            <w:vAlign w:val="center"/>
          </w:tcPr>
          <w:p w14:paraId="15D156FC">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根据现场情况</w:t>
            </w:r>
          </w:p>
        </w:tc>
        <w:tc>
          <w:tcPr>
            <w:tcW w:w="2137" w:type="dxa"/>
            <w:vAlign w:val="center"/>
          </w:tcPr>
          <w:p w14:paraId="21F878EF">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3D3E6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3E269C29">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2059" w:type="dxa"/>
            <w:vAlign w:val="center"/>
          </w:tcPr>
          <w:p w14:paraId="4D9085AB">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冷却塔</w:t>
            </w:r>
          </w:p>
        </w:tc>
        <w:tc>
          <w:tcPr>
            <w:tcW w:w="3245" w:type="dxa"/>
            <w:vAlign w:val="center"/>
          </w:tcPr>
          <w:p w14:paraId="12BDC46C">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填料清洗、水槽保养维修、自动补水、过滤网、电机、风扇等保养工作</w:t>
            </w:r>
          </w:p>
        </w:tc>
        <w:tc>
          <w:tcPr>
            <w:tcW w:w="1271" w:type="dxa"/>
            <w:vAlign w:val="center"/>
          </w:tcPr>
          <w:p w14:paraId="4F83DB17">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根据现场情况</w:t>
            </w:r>
          </w:p>
        </w:tc>
        <w:tc>
          <w:tcPr>
            <w:tcW w:w="2137" w:type="dxa"/>
            <w:vAlign w:val="center"/>
          </w:tcPr>
          <w:p w14:paraId="27B160A9">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516C5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217634BD">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w:t>
            </w:r>
          </w:p>
        </w:tc>
        <w:tc>
          <w:tcPr>
            <w:tcW w:w="2059" w:type="dxa"/>
            <w:vAlign w:val="center"/>
          </w:tcPr>
          <w:p w14:paraId="63ED7A37">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软化水系统</w:t>
            </w:r>
          </w:p>
        </w:tc>
        <w:tc>
          <w:tcPr>
            <w:tcW w:w="3245" w:type="dxa"/>
            <w:vAlign w:val="center"/>
          </w:tcPr>
          <w:p w14:paraId="725DD7A9">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添加耗材、控制系统维修</w:t>
            </w:r>
          </w:p>
        </w:tc>
        <w:tc>
          <w:tcPr>
            <w:tcW w:w="1271" w:type="dxa"/>
            <w:vAlign w:val="center"/>
          </w:tcPr>
          <w:p w14:paraId="6131692E">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3组</w:t>
            </w:r>
          </w:p>
        </w:tc>
        <w:tc>
          <w:tcPr>
            <w:tcW w:w="2137" w:type="dxa"/>
            <w:vAlign w:val="center"/>
          </w:tcPr>
          <w:p w14:paraId="5BA9DA50">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009D8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00DEA54A">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w:t>
            </w:r>
          </w:p>
        </w:tc>
        <w:tc>
          <w:tcPr>
            <w:tcW w:w="2059" w:type="dxa"/>
            <w:vAlign w:val="center"/>
          </w:tcPr>
          <w:p w14:paraId="50DC539E">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水泵</w:t>
            </w:r>
          </w:p>
        </w:tc>
        <w:tc>
          <w:tcPr>
            <w:tcW w:w="3245" w:type="dxa"/>
            <w:vAlign w:val="center"/>
          </w:tcPr>
          <w:p w14:paraId="45712117">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冷却、冷冻及控制柜保养、水封漏水维修，电机检查保养</w:t>
            </w:r>
          </w:p>
        </w:tc>
        <w:tc>
          <w:tcPr>
            <w:tcW w:w="1271" w:type="dxa"/>
            <w:vAlign w:val="center"/>
          </w:tcPr>
          <w:p w14:paraId="1F936B2E">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根据现场情况</w:t>
            </w:r>
          </w:p>
        </w:tc>
        <w:tc>
          <w:tcPr>
            <w:tcW w:w="2137" w:type="dxa"/>
            <w:vAlign w:val="center"/>
          </w:tcPr>
          <w:p w14:paraId="0DE85F20">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59220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1A63FF89">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w:t>
            </w:r>
          </w:p>
        </w:tc>
        <w:tc>
          <w:tcPr>
            <w:tcW w:w="2059" w:type="dxa"/>
            <w:vAlign w:val="center"/>
          </w:tcPr>
          <w:p w14:paraId="1155D848">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制冷剂</w:t>
            </w:r>
          </w:p>
        </w:tc>
        <w:tc>
          <w:tcPr>
            <w:tcW w:w="3245" w:type="dxa"/>
            <w:vAlign w:val="center"/>
          </w:tcPr>
          <w:p w14:paraId="3449FDB2">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根据保养损耗补充制冷剂</w:t>
            </w:r>
          </w:p>
        </w:tc>
        <w:tc>
          <w:tcPr>
            <w:tcW w:w="1271" w:type="dxa"/>
            <w:vAlign w:val="center"/>
          </w:tcPr>
          <w:p w14:paraId="5043506D">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根据现场情况</w:t>
            </w:r>
          </w:p>
        </w:tc>
        <w:tc>
          <w:tcPr>
            <w:tcW w:w="2137" w:type="dxa"/>
            <w:vAlign w:val="center"/>
          </w:tcPr>
          <w:p w14:paraId="5C1D9AA3">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3F7A17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5CF3328E">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w:t>
            </w:r>
          </w:p>
        </w:tc>
        <w:tc>
          <w:tcPr>
            <w:tcW w:w="2059" w:type="dxa"/>
            <w:vAlign w:val="center"/>
          </w:tcPr>
          <w:p w14:paraId="2C96FD25">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w:t>
            </w:r>
          </w:p>
        </w:tc>
        <w:tc>
          <w:tcPr>
            <w:tcW w:w="3245" w:type="dxa"/>
            <w:vAlign w:val="center"/>
          </w:tcPr>
          <w:p w14:paraId="217C8496">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冷凝器清洗</w:t>
            </w:r>
          </w:p>
        </w:tc>
        <w:tc>
          <w:tcPr>
            <w:tcW w:w="1271" w:type="dxa"/>
            <w:vAlign w:val="center"/>
          </w:tcPr>
          <w:p w14:paraId="272AD8DA">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7台</w:t>
            </w:r>
          </w:p>
        </w:tc>
        <w:tc>
          <w:tcPr>
            <w:tcW w:w="2137" w:type="dxa"/>
            <w:vAlign w:val="center"/>
          </w:tcPr>
          <w:p w14:paraId="3C9D8393">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394BA8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7F3D2516">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w:t>
            </w:r>
          </w:p>
        </w:tc>
        <w:tc>
          <w:tcPr>
            <w:tcW w:w="2059" w:type="dxa"/>
            <w:vAlign w:val="center"/>
          </w:tcPr>
          <w:p w14:paraId="4BF7BCA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机组保养</w:t>
            </w:r>
          </w:p>
        </w:tc>
        <w:tc>
          <w:tcPr>
            <w:tcW w:w="3245" w:type="dxa"/>
            <w:vAlign w:val="center"/>
          </w:tcPr>
          <w:p w14:paraId="7AB892B8">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p>
        </w:tc>
        <w:tc>
          <w:tcPr>
            <w:tcW w:w="1271" w:type="dxa"/>
            <w:vAlign w:val="center"/>
          </w:tcPr>
          <w:p w14:paraId="0DF93C2C">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7台</w:t>
            </w:r>
          </w:p>
        </w:tc>
        <w:tc>
          <w:tcPr>
            <w:tcW w:w="2137" w:type="dxa"/>
            <w:vAlign w:val="center"/>
          </w:tcPr>
          <w:p w14:paraId="55EE46E8">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按原厂保养标准</w:t>
            </w:r>
          </w:p>
        </w:tc>
      </w:tr>
      <w:tr w14:paraId="455EF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26" w:type="dxa"/>
            <w:vAlign w:val="center"/>
          </w:tcPr>
          <w:p w14:paraId="06194943">
            <w:pPr>
              <w:pageBreakBefore w:val="0"/>
              <w:tabs>
                <w:tab w:val="left" w:pos="424"/>
              </w:tabs>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w:t>
            </w:r>
          </w:p>
        </w:tc>
        <w:tc>
          <w:tcPr>
            <w:tcW w:w="2059" w:type="dxa"/>
            <w:vAlign w:val="center"/>
          </w:tcPr>
          <w:p w14:paraId="56EBFA71">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空调系统管网及末端系统常年维修维护保养</w:t>
            </w:r>
          </w:p>
        </w:tc>
        <w:tc>
          <w:tcPr>
            <w:tcW w:w="3245" w:type="dxa"/>
            <w:vAlign w:val="center"/>
          </w:tcPr>
          <w:p w14:paraId="57092DCD">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管网、风机盘管、出风口、风机转轴、控制开关等</w:t>
            </w:r>
          </w:p>
        </w:tc>
        <w:tc>
          <w:tcPr>
            <w:tcW w:w="1271" w:type="dxa"/>
            <w:vAlign w:val="center"/>
          </w:tcPr>
          <w:p w14:paraId="29829D1E">
            <w:pPr>
              <w:pageBreakBefore w:val="0"/>
              <w:tabs>
                <w:tab w:val="left" w:pos="424"/>
              </w:tabs>
              <w:kinsoku/>
              <w:wordWrap/>
              <w:overflowPunct/>
              <w:topLinePunct w:val="0"/>
              <w:bidi w:val="0"/>
              <w:spacing w:line="360" w:lineRule="auto"/>
              <w:ind w:left="0" w:leftChars="0" w:right="0"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全部</w:t>
            </w:r>
          </w:p>
        </w:tc>
        <w:tc>
          <w:tcPr>
            <w:tcW w:w="2137" w:type="dxa"/>
            <w:vAlign w:val="center"/>
          </w:tcPr>
          <w:p w14:paraId="175D3B2A">
            <w:pPr>
              <w:pageBreakBefore w:val="0"/>
              <w:tabs>
                <w:tab w:val="left" w:pos="424"/>
              </w:tabs>
              <w:kinsoku/>
              <w:wordWrap/>
              <w:overflowPunct/>
              <w:topLinePunct w:val="0"/>
              <w:bidi w:val="0"/>
              <w:spacing w:line="360" w:lineRule="auto"/>
              <w:ind w:left="0" w:leftChars="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按现行行业标准</w:t>
            </w:r>
          </w:p>
        </w:tc>
      </w:tr>
    </w:tbl>
    <w:p w14:paraId="37EF58CC">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4.二次加压站房管理和水箱清洗服务</w:t>
      </w:r>
    </w:p>
    <w:p w14:paraId="7C35E0A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highlight w:val="none"/>
        </w:rPr>
      </w:pPr>
      <w:r>
        <w:rPr>
          <w:rFonts w:hint="eastAsia" w:ascii="仿宋" w:hAnsi="仿宋" w:eastAsia="仿宋" w:cs="仿宋"/>
          <w:bCs/>
          <w:sz w:val="28"/>
          <w:szCs w:val="28"/>
          <w:highlight w:val="none"/>
        </w:rPr>
        <w:t>二次加压站房共10个，水箱数量：15m³水箱6个</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20m³水箱2个、500m³、1500m³各一个，共计</w:t>
      </w:r>
      <w:r>
        <w:rPr>
          <w:rFonts w:hint="eastAsia" w:ascii="仿宋" w:hAnsi="仿宋" w:eastAsia="仿宋" w:cs="仿宋"/>
          <w:bCs/>
          <w:color w:val="auto"/>
          <w:sz w:val="28"/>
          <w:szCs w:val="28"/>
          <w:highlight w:val="none"/>
        </w:rPr>
        <w:t>2130m³。供应商负责站房内设施设备的维护保养与管理，负责按照市政居民用水相关标准对二次加压水箱进行清洗。</w:t>
      </w:r>
      <w:r>
        <w:rPr>
          <w:rFonts w:hint="eastAsia" w:ascii="仿宋" w:hAnsi="仿宋" w:eastAsia="仿宋" w:cs="仿宋"/>
          <w:bCs/>
          <w:color w:val="auto"/>
          <w:sz w:val="28"/>
          <w:szCs w:val="28"/>
          <w:lang w:val="en-US" w:eastAsia="zh-CN"/>
        </w:rPr>
        <w:t>检测费用由供应商承担</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highlight w:val="none"/>
        </w:rPr>
        <w:t>年费用</w:t>
      </w:r>
      <w:r>
        <w:rPr>
          <w:rFonts w:hint="eastAsia" w:ascii="仿宋" w:hAnsi="仿宋" w:eastAsia="仿宋" w:cs="仿宋"/>
          <w:bCs/>
          <w:color w:val="auto"/>
          <w:sz w:val="28"/>
          <w:szCs w:val="28"/>
          <w:highlight w:val="none"/>
          <w:lang w:val="en-US" w:eastAsia="zh-CN"/>
        </w:rPr>
        <w:t>1.8</w:t>
      </w:r>
      <w:r>
        <w:rPr>
          <w:rFonts w:hint="eastAsia" w:ascii="仿宋" w:hAnsi="仿宋" w:eastAsia="仿宋" w:cs="仿宋"/>
          <w:bCs/>
          <w:color w:val="auto"/>
          <w:sz w:val="28"/>
          <w:szCs w:val="28"/>
          <w:highlight w:val="none"/>
        </w:rPr>
        <w:t>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p>
    <w:p w14:paraId="23D7EBF5">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5.高、低压电气设备进行校、试验及维护保养</w:t>
      </w:r>
    </w:p>
    <w:p w14:paraId="7A3DDFD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rPr>
        <w:t>为了保证高、低压电气设备的正常运行，按照电力设备运行规范及国家电力部门相关规定，每年需对高、低压电气设备进行校、试验及维护保养。</w:t>
      </w:r>
      <w:r>
        <w:rPr>
          <w:rFonts w:hint="eastAsia" w:ascii="仿宋" w:hAnsi="仿宋" w:eastAsia="仿宋" w:cs="仿宋"/>
          <w:bCs/>
          <w:color w:val="auto"/>
          <w:sz w:val="28"/>
          <w:szCs w:val="28"/>
          <w:lang w:val="en-US" w:eastAsia="zh-CN"/>
        </w:rPr>
        <w:t>检测费用由供应商承担</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highlight w:val="none"/>
        </w:rPr>
        <w:t>年费用</w:t>
      </w:r>
      <w:r>
        <w:rPr>
          <w:rFonts w:hint="eastAsia" w:ascii="仿宋" w:hAnsi="仿宋" w:eastAsia="仿宋" w:cs="仿宋"/>
          <w:bCs/>
          <w:color w:val="auto"/>
          <w:sz w:val="28"/>
          <w:szCs w:val="28"/>
          <w:highlight w:val="none"/>
          <w:lang w:val="en-US" w:eastAsia="zh-CN"/>
        </w:rPr>
        <w:t>9.2</w:t>
      </w:r>
      <w:r>
        <w:rPr>
          <w:rFonts w:hint="eastAsia" w:ascii="仿宋" w:hAnsi="仿宋" w:eastAsia="仿宋" w:cs="仿宋"/>
          <w:bCs/>
          <w:color w:val="auto"/>
          <w:sz w:val="28"/>
          <w:szCs w:val="28"/>
          <w:highlight w:val="none"/>
        </w:rPr>
        <w:t>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p>
    <w:p w14:paraId="4FF1A30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根据工作安排并结合实际情况一般在暑期完成此项工作，具体电气设备进行校、试验服务范围如下：</w:t>
      </w:r>
    </w:p>
    <w:p w14:paraId="5D07D42B">
      <w:pPr>
        <w:pageBreakBefore w:val="0"/>
        <w:tabs>
          <w:tab w:val="left" w:pos="424"/>
        </w:tabs>
        <w:kinsoku/>
        <w:wordWrap/>
        <w:overflowPunct/>
        <w:topLinePunct w:val="0"/>
        <w:bidi w:val="0"/>
        <w:spacing w:line="360" w:lineRule="auto"/>
        <w:ind w:left="0" w:leftChars="0" w:right="0"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内  容1</w:t>
      </w:r>
    </w:p>
    <w:tbl>
      <w:tblPr>
        <w:tblStyle w:val="53"/>
        <w:tblW w:w="9638" w:type="dxa"/>
        <w:jc w:val="center"/>
        <w:tblLayout w:type="fixed"/>
        <w:tblCellMar>
          <w:top w:w="15" w:type="dxa"/>
          <w:left w:w="15" w:type="dxa"/>
          <w:bottom w:w="15" w:type="dxa"/>
          <w:right w:w="15" w:type="dxa"/>
        </w:tblCellMar>
      </w:tblPr>
      <w:tblGrid>
        <w:gridCol w:w="610"/>
        <w:gridCol w:w="1373"/>
        <w:gridCol w:w="6022"/>
        <w:gridCol w:w="819"/>
        <w:gridCol w:w="814"/>
      </w:tblGrid>
      <w:tr w14:paraId="6254A4B2">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A1A8BA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1373" w:type="dxa"/>
            <w:tcBorders>
              <w:top w:val="single" w:color="000000" w:sz="4" w:space="0"/>
              <w:left w:val="single" w:color="000000" w:sz="4" w:space="0"/>
              <w:bottom w:val="single" w:color="000000" w:sz="4" w:space="0"/>
              <w:right w:val="single" w:color="000000" w:sz="4" w:space="0"/>
            </w:tcBorders>
            <w:vAlign w:val="center"/>
          </w:tcPr>
          <w:p w14:paraId="0E65C24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配电室名称</w:t>
            </w:r>
          </w:p>
        </w:tc>
        <w:tc>
          <w:tcPr>
            <w:tcW w:w="6022" w:type="dxa"/>
            <w:tcBorders>
              <w:top w:val="single" w:color="000000" w:sz="4" w:space="0"/>
              <w:left w:val="single" w:color="000000" w:sz="4" w:space="0"/>
              <w:bottom w:val="single" w:color="000000" w:sz="4" w:space="0"/>
              <w:right w:val="single" w:color="000000" w:sz="4" w:space="0"/>
            </w:tcBorders>
            <w:vAlign w:val="center"/>
          </w:tcPr>
          <w:p w14:paraId="0083C35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设备名称规格型号/技术要求、参数</w:t>
            </w:r>
          </w:p>
        </w:tc>
        <w:tc>
          <w:tcPr>
            <w:tcW w:w="819" w:type="dxa"/>
            <w:tcBorders>
              <w:top w:val="single" w:color="000000" w:sz="4" w:space="0"/>
              <w:left w:val="single" w:color="000000" w:sz="4" w:space="0"/>
              <w:bottom w:val="single" w:color="000000" w:sz="4" w:space="0"/>
              <w:right w:val="single" w:color="000000" w:sz="4" w:space="0"/>
            </w:tcBorders>
            <w:vAlign w:val="center"/>
          </w:tcPr>
          <w:p w14:paraId="2B99B75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w:t>
            </w:r>
          </w:p>
        </w:tc>
        <w:tc>
          <w:tcPr>
            <w:tcW w:w="814" w:type="dxa"/>
            <w:tcBorders>
              <w:top w:val="single" w:color="000000" w:sz="4" w:space="0"/>
              <w:left w:val="single" w:color="000000" w:sz="4" w:space="0"/>
              <w:bottom w:val="single" w:color="000000" w:sz="4" w:space="0"/>
              <w:right w:val="single" w:color="000000" w:sz="4" w:space="0"/>
            </w:tcBorders>
            <w:vAlign w:val="center"/>
          </w:tcPr>
          <w:p w14:paraId="6EF1477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r>
      <w:tr w14:paraId="09F82F71">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6EC4C21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109B3C6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中心配电室</w:t>
            </w:r>
          </w:p>
        </w:tc>
        <w:tc>
          <w:tcPr>
            <w:tcW w:w="6022" w:type="dxa"/>
            <w:tcBorders>
              <w:top w:val="single" w:color="000000" w:sz="4" w:space="0"/>
              <w:left w:val="single" w:color="000000" w:sz="4" w:space="0"/>
              <w:bottom w:val="single" w:color="000000" w:sz="4" w:space="0"/>
              <w:right w:val="single" w:color="000000" w:sz="4" w:space="0"/>
            </w:tcBorders>
            <w:vAlign w:val="bottom"/>
          </w:tcPr>
          <w:p w14:paraId="729EF58B">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所用变（30KVA）电力变压器试验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06EF29F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703CC87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3DCDF7BE">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D6B6D1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17E31F5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0871009">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7ABBF85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5E98AD15">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17</w:t>
            </w:r>
          </w:p>
        </w:tc>
      </w:tr>
      <w:tr w14:paraId="14BF949C">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35487A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6D16625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A026E40">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高压PT柜试验（包括柜内电压互感器三只，氧化锌避雷器一组，绝缘子与穿墙套管等）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535F89A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3D6899B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1CD33013">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FDEB34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C2B720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3818738">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6E18D9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4348743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w:t>
            </w:r>
          </w:p>
        </w:tc>
      </w:tr>
      <w:tr w14:paraId="5AD919D4">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292E61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5E2792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C8D33B9">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1F8A861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51D167E5">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138FA455">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910AF2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0691C7B">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1EF88A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母线试验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6C10652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段</w:t>
            </w:r>
          </w:p>
        </w:tc>
        <w:tc>
          <w:tcPr>
            <w:tcW w:w="814" w:type="dxa"/>
            <w:tcBorders>
              <w:top w:val="single" w:color="000000" w:sz="4" w:space="0"/>
              <w:left w:val="single" w:color="000000" w:sz="4" w:space="0"/>
              <w:bottom w:val="single" w:color="000000" w:sz="4" w:space="0"/>
              <w:right w:val="single" w:color="000000" w:sz="4" w:space="0"/>
            </w:tcBorders>
            <w:vAlign w:val="bottom"/>
          </w:tcPr>
          <w:p w14:paraId="009A6098">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38547AB9">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4E32F02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3645D99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2C41C7D1">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1FED74A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4D90C0A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5701623F">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76DEB9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756C819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2644189B">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7FE46D68">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03E80AF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14DA7270">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00D3E1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F6B197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A1204B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207BD8A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7C67233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3CBCCF0D">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2E19CC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1FC7611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B953457">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3FCA83D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209ED7E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4461E7F">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3DC1CDD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7FBE6F8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6FBB54FF">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3EB1D3C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08F596C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1B4A4D29">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154DC3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633A448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tcPr>
          <w:p w14:paraId="018EABE8">
            <w:pPr>
              <w:pageBreakBefore w:val="0"/>
              <w:kinsoku/>
              <w:wordWrap/>
              <w:overflowPunct/>
              <w:topLinePunct w:val="0"/>
              <w:bidi w:val="0"/>
              <w:spacing w:line="360" w:lineRule="auto"/>
              <w:ind w:left="0" w:leftChars="0" w:right="0"/>
              <w:textAlignment w:val="top"/>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33BF087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4F6CDCD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41BD7A46">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D19FAB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15FDF0C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045379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79F4C8DF">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7266D63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159C4218">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6211FC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1A978A7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677015F1">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0B1444C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2DA7DE58">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FCA095F">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5C7DB48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63FE0D4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73E33663">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54A3041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0A5DB10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5322CF9A">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FD8CFD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FCB7FE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3479559">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306BC32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6DDC6EC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27593849">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C27AA9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8C78EC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04712DA2">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F288688">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328F052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22C61876">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0022A0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FEA4C3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1660293">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72DD1D3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611357F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7FA0A92E">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3BC84C8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5DFDE34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573984E8">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0C03E54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59624BC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323EF32A">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A569A2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213C04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8E72C2F">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6B76F6A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2C31557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603A2ACF">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E1BE11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59AB9F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260E7384">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09E45A2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7639F78F">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5FF2BC2D">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3B1A7C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4DC13C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5909154">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27D4D1B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4962F05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71C77A7A">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132C5F9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083661B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550F4C9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18DF93C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14D6A77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32556629">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2E3076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9CDCA0A">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2E53869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15865EC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012E869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6D375E3">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ECCB71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659913C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A0FE202">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1453C0C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61B950A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69BCB58">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DC1F99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38FB55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228173E1">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5202165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7F22D7E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0FBEDB4B">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3E6044E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7A7214B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5A063891">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7E07EF1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0C6D4FA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4F2E8B50">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D9E6BA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BE698C0">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A55D00F">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5B53B21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7D600EB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3783F7F2">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BF8F3E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F42F73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047F0F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507F744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169F034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5B957E5C">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397BF4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76222A2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F534187">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5C10738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0695F50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6A22C7FA">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253E523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6EA439E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5213A2D0">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73DF259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1C6EE56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731E5D55">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2991E4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78D97F2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629FD7C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13BA664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7C6D4AB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6FF1DE0">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579ADD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42CEEA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5B24AE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2BBD857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4AAAEA1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DAF48D3">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42DCDB4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6B71779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6CD48998">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6E48E37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06853A8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6C4D7ACF">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22043A2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58DB4C8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3283D1C8">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68F2BDE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5883E9F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671EF784">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80CAD0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5073B6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EA1B8E7">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42028D4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7CEA2DE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1B79B2B3">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696568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AE35DE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3BAF89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0094F35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381A817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1BA920E0">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1F08A3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240F2F0">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BDA3BC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37F1165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7342A77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76074CFE">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495131E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0080692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1FD1FC4F">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7AA202C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7D7E841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2D4742C">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111A84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57C18B1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3F49B4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2815683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6DCC627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2B9CFBD2">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F0FB06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13472C0">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42C3A3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1AED33B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724485E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E5D72CF">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D15CB0B">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1E0694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73F4F34">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33F2983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3E119A0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0E22373C">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142F933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11</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3F73CF6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16EB4F80">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3C39237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4CE1F3D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7AC6BA5">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3E12654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399E39A">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63D1E1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137A74E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5370EAC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2F84A4D">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659B196">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7505AE6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634553F1">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65DB92B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3A01A6D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9F94ABC">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82D023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4E2636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52F1E52">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34B058E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0A5D404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40ACA09C">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341D426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40E85DE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11#区域配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43A43668">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BB8EBD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bottom"/>
          </w:tcPr>
          <w:p w14:paraId="289E1AB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443AEBDC">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E410F7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FE056A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5BBCCAB">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bottom"/>
          </w:tcPr>
          <w:p w14:paraId="1BAF1FD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bottom"/>
          </w:tcPr>
          <w:p w14:paraId="55BA401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50F29996">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CAB51E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2188541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DC7C4F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3475D13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bottom"/>
          </w:tcPr>
          <w:p w14:paraId="770A914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w:t>
            </w:r>
          </w:p>
        </w:tc>
      </w:tr>
      <w:tr w14:paraId="150D3528">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7D48D1B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5DD76AE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C9897A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2F39725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bottom"/>
          </w:tcPr>
          <w:p w14:paraId="12DCB65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w:t>
            </w:r>
          </w:p>
        </w:tc>
      </w:tr>
      <w:tr w14:paraId="1DF98577">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right w:val="single" w:color="000000" w:sz="4" w:space="0"/>
            </w:tcBorders>
            <w:vAlign w:val="center"/>
          </w:tcPr>
          <w:p w14:paraId="26B4989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13</w:t>
            </w:r>
          </w:p>
        </w:tc>
        <w:tc>
          <w:tcPr>
            <w:tcW w:w="1373" w:type="dxa"/>
            <w:vMerge w:val="restart"/>
            <w:tcBorders>
              <w:top w:val="single" w:color="000000" w:sz="4" w:space="0"/>
              <w:left w:val="single" w:color="000000" w:sz="4" w:space="0"/>
              <w:right w:val="single" w:color="000000" w:sz="4" w:space="0"/>
            </w:tcBorders>
            <w:vAlign w:val="center"/>
          </w:tcPr>
          <w:p w14:paraId="5998437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1#空调区域配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0BC84D0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1250KVA电力变压器试验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D5A3725">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center"/>
          </w:tcPr>
          <w:p w14:paraId="5F5F703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2CC987B3">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right w:val="single" w:color="000000" w:sz="4" w:space="0"/>
            </w:tcBorders>
            <w:vAlign w:val="center"/>
          </w:tcPr>
          <w:p w14:paraId="7E69036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right w:val="single" w:color="000000" w:sz="4" w:space="0"/>
            </w:tcBorders>
            <w:vAlign w:val="center"/>
          </w:tcPr>
          <w:p w14:paraId="2A9CDA5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2D33F6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center"/>
          </w:tcPr>
          <w:p w14:paraId="0157CEB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center"/>
          </w:tcPr>
          <w:p w14:paraId="0F6AF3C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319DDD7A">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right w:val="single" w:color="000000" w:sz="4" w:space="0"/>
            </w:tcBorders>
            <w:vAlign w:val="center"/>
          </w:tcPr>
          <w:p w14:paraId="55AC6D6E">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right w:val="single" w:color="000000" w:sz="4" w:space="0"/>
            </w:tcBorders>
            <w:vAlign w:val="center"/>
          </w:tcPr>
          <w:p w14:paraId="22C5DA2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4D0DE62E">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B8190C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center"/>
          </w:tcPr>
          <w:p w14:paraId="6016720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4EFB2532">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bottom w:val="single" w:color="000000" w:sz="4" w:space="0"/>
              <w:right w:val="single" w:color="000000" w:sz="4" w:space="0"/>
            </w:tcBorders>
            <w:vAlign w:val="center"/>
          </w:tcPr>
          <w:p w14:paraId="546E8EA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bottom w:val="single" w:color="000000" w:sz="4" w:space="0"/>
              <w:right w:val="single" w:color="000000" w:sz="4" w:space="0"/>
            </w:tcBorders>
            <w:vAlign w:val="center"/>
          </w:tcPr>
          <w:p w14:paraId="3A3BF7B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1174F80B">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1045E2B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center"/>
          </w:tcPr>
          <w:p w14:paraId="53064E1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239CCFA7">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right w:val="single" w:color="000000" w:sz="4" w:space="0"/>
            </w:tcBorders>
            <w:vAlign w:val="center"/>
          </w:tcPr>
          <w:p w14:paraId="3A8DF98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14</w:t>
            </w:r>
          </w:p>
        </w:tc>
        <w:tc>
          <w:tcPr>
            <w:tcW w:w="1373" w:type="dxa"/>
            <w:vMerge w:val="restart"/>
            <w:tcBorders>
              <w:top w:val="single" w:color="000000" w:sz="4" w:space="0"/>
              <w:left w:val="single" w:color="000000" w:sz="4" w:space="0"/>
              <w:right w:val="single" w:color="000000" w:sz="4" w:space="0"/>
            </w:tcBorders>
            <w:vAlign w:val="center"/>
          </w:tcPr>
          <w:p w14:paraId="667632C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2#空调区域配</w:t>
            </w:r>
          </w:p>
        </w:tc>
        <w:tc>
          <w:tcPr>
            <w:tcW w:w="6022" w:type="dxa"/>
            <w:tcBorders>
              <w:top w:val="single" w:color="000000" w:sz="4" w:space="0"/>
              <w:left w:val="single" w:color="000000" w:sz="4" w:space="0"/>
              <w:bottom w:val="single" w:color="000000" w:sz="4" w:space="0"/>
              <w:right w:val="single" w:color="000000" w:sz="4" w:space="0"/>
            </w:tcBorders>
            <w:vAlign w:val="bottom"/>
          </w:tcPr>
          <w:p w14:paraId="1D905464">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1600KVA电力变压器试验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4F6ACF06">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center"/>
          </w:tcPr>
          <w:p w14:paraId="1500760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68D8244E">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right w:val="single" w:color="000000" w:sz="4" w:space="0"/>
            </w:tcBorders>
            <w:vAlign w:val="center"/>
          </w:tcPr>
          <w:p w14:paraId="4C94524B">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right w:val="single" w:color="000000" w:sz="4" w:space="0"/>
            </w:tcBorders>
            <w:vAlign w:val="center"/>
          </w:tcPr>
          <w:p w14:paraId="0E46EEE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45FBC1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高压开关柜试验（包括柜内高压断路器一台,电流互感器三只，氧化锌避雷器一组，绝缘子与绝缘套管等）</w:t>
            </w:r>
          </w:p>
        </w:tc>
        <w:tc>
          <w:tcPr>
            <w:tcW w:w="819" w:type="dxa"/>
            <w:tcBorders>
              <w:top w:val="single" w:color="000000" w:sz="4" w:space="0"/>
              <w:left w:val="single" w:color="000000" w:sz="4" w:space="0"/>
              <w:bottom w:val="single" w:color="000000" w:sz="4" w:space="0"/>
              <w:right w:val="single" w:color="000000" w:sz="4" w:space="0"/>
            </w:tcBorders>
            <w:vAlign w:val="center"/>
          </w:tcPr>
          <w:p w14:paraId="58D709CF">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柜</w:t>
            </w:r>
          </w:p>
        </w:tc>
        <w:tc>
          <w:tcPr>
            <w:tcW w:w="814" w:type="dxa"/>
            <w:tcBorders>
              <w:top w:val="single" w:color="000000" w:sz="4" w:space="0"/>
              <w:left w:val="single" w:color="000000" w:sz="4" w:space="0"/>
              <w:bottom w:val="single" w:color="000000" w:sz="4" w:space="0"/>
              <w:right w:val="single" w:color="000000" w:sz="4" w:space="0"/>
            </w:tcBorders>
            <w:vAlign w:val="center"/>
          </w:tcPr>
          <w:p w14:paraId="6C2B40C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755975C0">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right w:val="single" w:color="000000" w:sz="4" w:space="0"/>
            </w:tcBorders>
            <w:vAlign w:val="center"/>
          </w:tcPr>
          <w:p w14:paraId="0918D1B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right w:val="single" w:color="000000" w:sz="4" w:space="0"/>
            </w:tcBorders>
            <w:vAlign w:val="center"/>
          </w:tcPr>
          <w:p w14:paraId="044C8B4F">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EF1809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高压电力电缆试验</w:t>
            </w:r>
          </w:p>
        </w:tc>
        <w:tc>
          <w:tcPr>
            <w:tcW w:w="819" w:type="dxa"/>
            <w:tcBorders>
              <w:top w:val="single" w:color="000000" w:sz="4" w:space="0"/>
              <w:left w:val="single" w:color="000000" w:sz="4" w:space="0"/>
              <w:bottom w:val="single" w:color="000000" w:sz="4" w:space="0"/>
              <w:right w:val="single" w:color="000000" w:sz="4" w:space="0"/>
            </w:tcBorders>
            <w:vAlign w:val="bottom"/>
          </w:tcPr>
          <w:p w14:paraId="6CB40ECB">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条</w:t>
            </w:r>
          </w:p>
        </w:tc>
        <w:tc>
          <w:tcPr>
            <w:tcW w:w="814" w:type="dxa"/>
            <w:tcBorders>
              <w:top w:val="single" w:color="000000" w:sz="4" w:space="0"/>
              <w:left w:val="single" w:color="000000" w:sz="4" w:space="0"/>
              <w:bottom w:val="single" w:color="000000" w:sz="4" w:space="0"/>
              <w:right w:val="single" w:color="000000" w:sz="4" w:space="0"/>
            </w:tcBorders>
            <w:vAlign w:val="center"/>
          </w:tcPr>
          <w:p w14:paraId="75DE2343">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503384EC">
        <w:tblPrEx>
          <w:tblCellMar>
            <w:top w:w="15" w:type="dxa"/>
            <w:left w:w="15" w:type="dxa"/>
            <w:bottom w:w="15" w:type="dxa"/>
            <w:right w:w="15" w:type="dxa"/>
          </w:tblCellMar>
        </w:tblPrEx>
        <w:trPr>
          <w:trHeight w:val="454" w:hRule="atLeast"/>
          <w:jc w:val="center"/>
        </w:trPr>
        <w:tc>
          <w:tcPr>
            <w:tcW w:w="610" w:type="dxa"/>
            <w:vMerge w:val="continue"/>
            <w:tcBorders>
              <w:left w:val="single" w:color="000000" w:sz="4" w:space="0"/>
              <w:bottom w:val="single" w:color="000000" w:sz="4" w:space="0"/>
              <w:right w:val="single" w:color="000000" w:sz="4" w:space="0"/>
            </w:tcBorders>
            <w:vAlign w:val="center"/>
          </w:tcPr>
          <w:p w14:paraId="3EECD7F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left w:val="single" w:color="000000" w:sz="4" w:space="0"/>
              <w:bottom w:val="single" w:color="000000" w:sz="4" w:space="0"/>
              <w:right w:val="single" w:color="000000" w:sz="4" w:space="0"/>
            </w:tcBorders>
            <w:vAlign w:val="center"/>
          </w:tcPr>
          <w:p w14:paraId="4BB7572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B2682DE">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接地电阻测量</w:t>
            </w:r>
          </w:p>
        </w:tc>
        <w:tc>
          <w:tcPr>
            <w:tcW w:w="819" w:type="dxa"/>
            <w:tcBorders>
              <w:top w:val="single" w:color="000000" w:sz="4" w:space="0"/>
              <w:left w:val="single" w:color="000000" w:sz="4" w:space="0"/>
              <w:bottom w:val="single" w:color="000000" w:sz="4" w:space="0"/>
              <w:right w:val="single" w:color="000000" w:sz="4" w:space="0"/>
            </w:tcBorders>
            <w:vAlign w:val="bottom"/>
          </w:tcPr>
          <w:p w14:paraId="5EAA878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处</w:t>
            </w:r>
          </w:p>
        </w:tc>
        <w:tc>
          <w:tcPr>
            <w:tcW w:w="814" w:type="dxa"/>
            <w:tcBorders>
              <w:top w:val="single" w:color="000000" w:sz="4" w:space="0"/>
              <w:left w:val="single" w:color="000000" w:sz="4" w:space="0"/>
              <w:bottom w:val="single" w:color="000000" w:sz="4" w:space="0"/>
              <w:right w:val="single" w:color="000000" w:sz="4" w:space="0"/>
            </w:tcBorders>
            <w:vAlign w:val="center"/>
          </w:tcPr>
          <w:p w14:paraId="08A3418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r>
      <w:tr w14:paraId="36DBF1DD">
        <w:tblPrEx>
          <w:tblCellMar>
            <w:top w:w="15" w:type="dxa"/>
            <w:left w:w="15" w:type="dxa"/>
            <w:bottom w:w="15" w:type="dxa"/>
            <w:right w:w="15" w:type="dxa"/>
          </w:tblCellMar>
        </w:tblPrEx>
        <w:trPr>
          <w:trHeight w:val="454" w:hRule="atLeast"/>
          <w:jc w:val="center"/>
        </w:trPr>
        <w:tc>
          <w:tcPr>
            <w:tcW w:w="9638" w:type="dxa"/>
            <w:gridSpan w:val="5"/>
            <w:vAlign w:val="center"/>
          </w:tcPr>
          <w:p w14:paraId="54CB41D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内容2</w:t>
            </w:r>
          </w:p>
        </w:tc>
      </w:tr>
      <w:tr w14:paraId="4B0BDFF9">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281CAC5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16</w:t>
            </w:r>
          </w:p>
        </w:tc>
        <w:tc>
          <w:tcPr>
            <w:tcW w:w="1373" w:type="dxa"/>
            <w:tcBorders>
              <w:top w:val="single" w:color="000000" w:sz="4" w:space="0"/>
              <w:left w:val="single" w:color="000000" w:sz="4" w:space="0"/>
              <w:bottom w:val="single" w:color="000000" w:sz="4" w:space="0"/>
              <w:right w:val="single" w:color="000000" w:sz="4" w:space="0"/>
            </w:tcBorders>
            <w:vAlign w:val="center"/>
          </w:tcPr>
          <w:p w14:paraId="559603A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w:t>
            </w:r>
          </w:p>
        </w:tc>
        <w:tc>
          <w:tcPr>
            <w:tcW w:w="6022" w:type="dxa"/>
            <w:tcBorders>
              <w:top w:val="single" w:color="000000" w:sz="4" w:space="0"/>
              <w:left w:val="single" w:color="000000" w:sz="4" w:space="0"/>
              <w:bottom w:val="single" w:color="000000" w:sz="4" w:space="0"/>
              <w:right w:val="single" w:color="000000" w:sz="4" w:space="0"/>
            </w:tcBorders>
            <w:vAlign w:val="center"/>
          </w:tcPr>
          <w:p w14:paraId="5F056814">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规格型号/技术要求、参数</w:t>
            </w:r>
          </w:p>
        </w:tc>
        <w:tc>
          <w:tcPr>
            <w:tcW w:w="819" w:type="dxa"/>
            <w:tcBorders>
              <w:top w:val="single" w:color="000000" w:sz="4" w:space="0"/>
              <w:left w:val="single" w:color="000000" w:sz="4" w:space="0"/>
              <w:bottom w:val="single" w:color="000000" w:sz="4" w:space="0"/>
              <w:right w:val="single" w:color="000000" w:sz="4" w:space="0"/>
            </w:tcBorders>
            <w:vAlign w:val="center"/>
          </w:tcPr>
          <w:p w14:paraId="4790AA0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w:t>
            </w:r>
          </w:p>
        </w:tc>
        <w:tc>
          <w:tcPr>
            <w:tcW w:w="814" w:type="dxa"/>
            <w:tcBorders>
              <w:top w:val="single" w:color="000000" w:sz="4" w:space="0"/>
              <w:left w:val="single" w:color="000000" w:sz="4" w:space="0"/>
              <w:bottom w:val="single" w:color="000000" w:sz="4" w:space="0"/>
              <w:right w:val="single" w:color="000000" w:sz="4" w:space="0"/>
            </w:tcBorders>
            <w:vAlign w:val="center"/>
          </w:tcPr>
          <w:p w14:paraId="7CE58FF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r>
      <w:tr w14:paraId="15B5E11A">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E64B00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136013E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中心配电所及各区域配电气设备继电保护校验</w:t>
            </w:r>
          </w:p>
        </w:tc>
        <w:tc>
          <w:tcPr>
            <w:tcW w:w="6022" w:type="dxa"/>
            <w:tcBorders>
              <w:top w:val="single" w:color="000000" w:sz="4" w:space="0"/>
              <w:left w:val="single" w:color="000000" w:sz="4" w:space="0"/>
              <w:bottom w:val="single" w:color="000000" w:sz="4" w:space="0"/>
              <w:right w:val="single" w:color="000000" w:sz="4" w:space="0"/>
            </w:tcBorders>
            <w:vAlign w:val="bottom"/>
          </w:tcPr>
          <w:p w14:paraId="1F678C4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主进线开关柜继电保护校验</w:t>
            </w:r>
          </w:p>
        </w:tc>
        <w:tc>
          <w:tcPr>
            <w:tcW w:w="819" w:type="dxa"/>
            <w:tcBorders>
              <w:top w:val="single" w:color="000000" w:sz="4" w:space="0"/>
              <w:left w:val="single" w:color="000000" w:sz="4" w:space="0"/>
              <w:bottom w:val="single" w:color="000000" w:sz="4" w:space="0"/>
              <w:right w:val="single" w:color="000000" w:sz="4" w:space="0"/>
            </w:tcBorders>
            <w:vAlign w:val="bottom"/>
          </w:tcPr>
          <w:p w14:paraId="51F542B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套</w:t>
            </w:r>
          </w:p>
        </w:tc>
        <w:tc>
          <w:tcPr>
            <w:tcW w:w="814" w:type="dxa"/>
            <w:tcBorders>
              <w:top w:val="single" w:color="000000" w:sz="4" w:space="0"/>
              <w:left w:val="single" w:color="000000" w:sz="4" w:space="0"/>
              <w:bottom w:val="single" w:color="000000" w:sz="4" w:space="0"/>
              <w:right w:val="single" w:color="000000" w:sz="4" w:space="0"/>
            </w:tcBorders>
            <w:vAlign w:val="bottom"/>
          </w:tcPr>
          <w:p w14:paraId="30B40F28">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055AB1F0">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29208F51">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8C19137">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385BDE86">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变压器开关柜继电保护校验</w:t>
            </w:r>
          </w:p>
        </w:tc>
        <w:tc>
          <w:tcPr>
            <w:tcW w:w="819" w:type="dxa"/>
            <w:tcBorders>
              <w:top w:val="single" w:color="000000" w:sz="4" w:space="0"/>
              <w:left w:val="single" w:color="000000" w:sz="4" w:space="0"/>
              <w:bottom w:val="single" w:color="000000" w:sz="4" w:space="0"/>
              <w:right w:val="single" w:color="000000" w:sz="4" w:space="0"/>
            </w:tcBorders>
            <w:vAlign w:val="bottom"/>
          </w:tcPr>
          <w:p w14:paraId="6F4DB619">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套</w:t>
            </w:r>
          </w:p>
        </w:tc>
        <w:tc>
          <w:tcPr>
            <w:tcW w:w="814" w:type="dxa"/>
            <w:tcBorders>
              <w:top w:val="single" w:color="000000" w:sz="4" w:space="0"/>
              <w:left w:val="single" w:color="000000" w:sz="4" w:space="0"/>
              <w:bottom w:val="single" w:color="000000" w:sz="4" w:space="0"/>
              <w:right w:val="single" w:color="000000" w:sz="4" w:space="0"/>
            </w:tcBorders>
            <w:vAlign w:val="bottom"/>
          </w:tcPr>
          <w:p w14:paraId="5A95C4E2">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24</w:t>
            </w:r>
          </w:p>
        </w:tc>
      </w:tr>
      <w:tr w14:paraId="0F212FEF">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585F670C">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DF6BF44">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2ED2DFA3">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中央信号回路继电保护校验</w:t>
            </w:r>
          </w:p>
        </w:tc>
        <w:tc>
          <w:tcPr>
            <w:tcW w:w="819" w:type="dxa"/>
            <w:tcBorders>
              <w:top w:val="single" w:color="000000" w:sz="4" w:space="0"/>
              <w:left w:val="single" w:color="000000" w:sz="4" w:space="0"/>
              <w:bottom w:val="single" w:color="000000" w:sz="4" w:space="0"/>
              <w:right w:val="single" w:color="000000" w:sz="4" w:space="0"/>
            </w:tcBorders>
            <w:vAlign w:val="bottom"/>
          </w:tcPr>
          <w:p w14:paraId="2B65697C">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系统</w:t>
            </w:r>
          </w:p>
        </w:tc>
        <w:tc>
          <w:tcPr>
            <w:tcW w:w="814" w:type="dxa"/>
            <w:tcBorders>
              <w:top w:val="single" w:color="000000" w:sz="4" w:space="0"/>
              <w:left w:val="single" w:color="000000" w:sz="4" w:space="0"/>
              <w:bottom w:val="single" w:color="000000" w:sz="4" w:space="0"/>
              <w:right w:val="single" w:color="000000" w:sz="4" w:space="0"/>
            </w:tcBorders>
            <w:vAlign w:val="bottom"/>
          </w:tcPr>
          <w:p w14:paraId="74BB7E5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r>
      <w:tr w14:paraId="2FB564DD">
        <w:tblPrEx>
          <w:tblCellMar>
            <w:top w:w="15" w:type="dxa"/>
            <w:left w:w="15" w:type="dxa"/>
            <w:bottom w:w="15" w:type="dxa"/>
            <w:right w:w="15" w:type="dxa"/>
          </w:tblCellMar>
        </w:tblPrEx>
        <w:trPr>
          <w:trHeight w:val="454" w:hRule="atLeast"/>
          <w:jc w:val="center"/>
        </w:trPr>
        <w:tc>
          <w:tcPr>
            <w:tcW w:w="9638" w:type="dxa"/>
            <w:gridSpan w:val="5"/>
            <w:vAlign w:val="bottom"/>
          </w:tcPr>
          <w:p w14:paraId="2BA9AF57">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内容3</w:t>
            </w:r>
          </w:p>
        </w:tc>
      </w:tr>
      <w:tr w14:paraId="7D3D5B1A">
        <w:tblPrEx>
          <w:tblCellMar>
            <w:top w:w="15" w:type="dxa"/>
            <w:left w:w="15" w:type="dxa"/>
            <w:bottom w:w="15" w:type="dxa"/>
            <w:right w:w="15" w:type="dxa"/>
          </w:tblCellMar>
        </w:tblPrEx>
        <w:trPr>
          <w:trHeight w:val="454"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14:paraId="62B758F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17</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567840A2">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中心配电所蓄电池、充电装置检验</w:t>
            </w:r>
          </w:p>
        </w:tc>
        <w:tc>
          <w:tcPr>
            <w:tcW w:w="6022" w:type="dxa"/>
            <w:tcBorders>
              <w:top w:val="single" w:color="000000" w:sz="4" w:space="0"/>
              <w:left w:val="single" w:color="000000" w:sz="4" w:space="0"/>
              <w:bottom w:val="single" w:color="000000" w:sz="4" w:space="0"/>
              <w:right w:val="single" w:color="000000" w:sz="4" w:space="0"/>
            </w:tcBorders>
            <w:vAlign w:val="center"/>
          </w:tcPr>
          <w:p w14:paraId="11D9CA2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规格型号/技术要求、参数</w:t>
            </w:r>
          </w:p>
        </w:tc>
        <w:tc>
          <w:tcPr>
            <w:tcW w:w="819" w:type="dxa"/>
            <w:tcBorders>
              <w:top w:val="single" w:color="000000" w:sz="4" w:space="0"/>
              <w:left w:val="single" w:color="000000" w:sz="4" w:space="0"/>
              <w:bottom w:val="single" w:color="000000" w:sz="4" w:space="0"/>
              <w:right w:val="single" w:color="000000" w:sz="4" w:space="0"/>
            </w:tcBorders>
            <w:vAlign w:val="center"/>
          </w:tcPr>
          <w:p w14:paraId="6F5B2A4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w:t>
            </w:r>
          </w:p>
        </w:tc>
        <w:tc>
          <w:tcPr>
            <w:tcW w:w="814" w:type="dxa"/>
            <w:tcBorders>
              <w:top w:val="single" w:color="000000" w:sz="4" w:space="0"/>
              <w:left w:val="single" w:color="000000" w:sz="4" w:space="0"/>
              <w:bottom w:val="single" w:color="000000" w:sz="4" w:space="0"/>
              <w:right w:val="single" w:color="000000" w:sz="4" w:space="0"/>
            </w:tcBorders>
            <w:vAlign w:val="center"/>
          </w:tcPr>
          <w:p w14:paraId="2FB72D2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r>
      <w:tr w14:paraId="6E2A7672">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3BF2CF3">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3CF38090">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71970749">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直流屏高频开关充电整流器调试（按调试项目1650）</w:t>
            </w:r>
          </w:p>
        </w:tc>
        <w:tc>
          <w:tcPr>
            <w:tcW w:w="819" w:type="dxa"/>
            <w:tcBorders>
              <w:top w:val="single" w:color="000000" w:sz="4" w:space="0"/>
              <w:left w:val="single" w:color="000000" w:sz="4" w:space="0"/>
              <w:bottom w:val="single" w:color="000000" w:sz="4" w:space="0"/>
              <w:right w:val="single" w:color="000000" w:sz="4" w:space="0"/>
            </w:tcBorders>
            <w:vAlign w:val="bottom"/>
          </w:tcPr>
          <w:p w14:paraId="4ACB25F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系统</w:t>
            </w:r>
          </w:p>
        </w:tc>
        <w:tc>
          <w:tcPr>
            <w:tcW w:w="814" w:type="dxa"/>
            <w:tcBorders>
              <w:top w:val="single" w:color="000000" w:sz="4" w:space="0"/>
              <w:left w:val="single" w:color="000000" w:sz="4" w:space="0"/>
              <w:bottom w:val="single" w:color="000000" w:sz="4" w:space="0"/>
              <w:right w:val="single" w:color="000000" w:sz="4" w:space="0"/>
            </w:tcBorders>
            <w:vAlign w:val="bottom"/>
          </w:tcPr>
          <w:p w14:paraId="77EDC3B8">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64612D48">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018DCCBB">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49F2E08A">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5DEC07C">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阀控蓄电池组容量（充放电）检验（12v/600Ah）</w:t>
            </w:r>
          </w:p>
        </w:tc>
        <w:tc>
          <w:tcPr>
            <w:tcW w:w="819" w:type="dxa"/>
            <w:tcBorders>
              <w:top w:val="single" w:color="000000" w:sz="4" w:space="0"/>
              <w:left w:val="single" w:color="000000" w:sz="4" w:space="0"/>
              <w:bottom w:val="single" w:color="000000" w:sz="4" w:space="0"/>
              <w:right w:val="single" w:color="000000" w:sz="4" w:space="0"/>
            </w:tcBorders>
            <w:vAlign w:val="bottom"/>
          </w:tcPr>
          <w:p w14:paraId="3D5CB3CE">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组</w:t>
            </w:r>
          </w:p>
        </w:tc>
        <w:tc>
          <w:tcPr>
            <w:tcW w:w="814" w:type="dxa"/>
            <w:tcBorders>
              <w:top w:val="single" w:color="000000" w:sz="4" w:space="0"/>
              <w:left w:val="single" w:color="000000" w:sz="4" w:space="0"/>
              <w:bottom w:val="single" w:color="000000" w:sz="4" w:space="0"/>
              <w:right w:val="single" w:color="000000" w:sz="4" w:space="0"/>
            </w:tcBorders>
            <w:vAlign w:val="bottom"/>
          </w:tcPr>
          <w:p w14:paraId="0100AAE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76FC908D">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124B1622">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1A74F97D">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647D5B8A">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直流系统微机监控装置各种参数</w:t>
            </w:r>
            <w:r>
              <w:rPr>
                <w:rFonts w:hint="eastAsia" w:ascii="仿宋" w:hAnsi="仿宋" w:eastAsia="仿宋" w:cs="仿宋"/>
                <w:b w:val="0"/>
                <w:bCs/>
                <w:color w:val="auto"/>
                <w:sz w:val="24"/>
                <w:szCs w:val="24"/>
                <w:lang w:val="en-US" w:eastAsia="zh-CN"/>
              </w:rPr>
              <w:t>校</w:t>
            </w:r>
            <w:r>
              <w:rPr>
                <w:rFonts w:hint="eastAsia" w:ascii="仿宋" w:hAnsi="仿宋" w:eastAsia="仿宋" w:cs="仿宋"/>
                <w:b w:val="0"/>
                <w:bCs/>
                <w:color w:val="auto"/>
                <w:sz w:val="24"/>
                <w:szCs w:val="24"/>
              </w:rPr>
              <w:t>核与调试</w:t>
            </w:r>
          </w:p>
        </w:tc>
        <w:tc>
          <w:tcPr>
            <w:tcW w:w="819" w:type="dxa"/>
            <w:tcBorders>
              <w:top w:val="single" w:color="000000" w:sz="4" w:space="0"/>
              <w:left w:val="single" w:color="000000" w:sz="4" w:space="0"/>
              <w:bottom w:val="single" w:color="000000" w:sz="4" w:space="0"/>
              <w:right w:val="single" w:color="000000" w:sz="4" w:space="0"/>
            </w:tcBorders>
            <w:vAlign w:val="bottom"/>
          </w:tcPr>
          <w:p w14:paraId="31E432ED">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系统（套）</w:t>
            </w:r>
          </w:p>
        </w:tc>
        <w:tc>
          <w:tcPr>
            <w:tcW w:w="814" w:type="dxa"/>
            <w:tcBorders>
              <w:top w:val="single" w:color="000000" w:sz="4" w:space="0"/>
              <w:left w:val="single" w:color="000000" w:sz="4" w:space="0"/>
              <w:bottom w:val="single" w:color="000000" w:sz="4" w:space="0"/>
              <w:right w:val="single" w:color="000000" w:sz="4" w:space="0"/>
            </w:tcBorders>
            <w:vAlign w:val="bottom"/>
          </w:tcPr>
          <w:p w14:paraId="170C55A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00AFE8B4">
        <w:tblPrEx>
          <w:tblCellMar>
            <w:top w:w="15" w:type="dxa"/>
            <w:left w:w="15" w:type="dxa"/>
            <w:bottom w:w="15" w:type="dxa"/>
            <w:right w:w="15" w:type="dxa"/>
          </w:tblCellMar>
        </w:tblPrEx>
        <w:trPr>
          <w:trHeight w:val="45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14:paraId="6F388B75">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6356834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p>
        </w:tc>
        <w:tc>
          <w:tcPr>
            <w:tcW w:w="6022" w:type="dxa"/>
            <w:tcBorders>
              <w:top w:val="single" w:color="000000" w:sz="4" w:space="0"/>
              <w:left w:val="single" w:color="000000" w:sz="4" w:space="0"/>
              <w:bottom w:val="single" w:color="000000" w:sz="4" w:space="0"/>
              <w:right w:val="single" w:color="000000" w:sz="4" w:space="0"/>
            </w:tcBorders>
            <w:vAlign w:val="bottom"/>
          </w:tcPr>
          <w:p w14:paraId="58FFBA8F">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直流馈线及交流供电系统检查与检验（综合）</w:t>
            </w:r>
          </w:p>
        </w:tc>
        <w:tc>
          <w:tcPr>
            <w:tcW w:w="819" w:type="dxa"/>
            <w:tcBorders>
              <w:top w:val="single" w:color="000000" w:sz="4" w:space="0"/>
              <w:left w:val="single" w:color="000000" w:sz="4" w:space="0"/>
              <w:bottom w:val="single" w:color="000000" w:sz="4" w:space="0"/>
              <w:right w:val="single" w:color="000000" w:sz="4" w:space="0"/>
            </w:tcBorders>
            <w:vAlign w:val="bottom"/>
          </w:tcPr>
          <w:p w14:paraId="3AE529F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系统</w:t>
            </w:r>
          </w:p>
        </w:tc>
        <w:tc>
          <w:tcPr>
            <w:tcW w:w="814" w:type="dxa"/>
            <w:tcBorders>
              <w:top w:val="single" w:color="000000" w:sz="4" w:space="0"/>
              <w:left w:val="single" w:color="000000" w:sz="4" w:space="0"/>
              <w:bottom w:val="single" w:color="000000" w:sz="4" w:space="0"/>
              <w:right w:val="single" w:color="000000" w:sz="4" w:space="0"/>
            </w:tcBorders>
            <w:vAlign w:val="bottom"/>
          </w:tcPr>
          <w:p w14:paraId="19D03FC0">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53A561E5">
        <w:tblPrEx>
          <w:tblCellMar>
            <w:top w:w="15" w:type="dxa"/>
            <w:left w:w="15" w:type="dxa"/>
            <w:bottom w:w="15" w:type="dxa"/>
            <w:right w:w="15" w:type="dxa"/>
          </w:tblCellMar>
        </w:tblPrEx>
        <w:trPr>
          <w:trHeight w:val="454" w:hRule="atLeast"/>
          <w:jc w:val="center"/>
        </w:trPr>
        <w:tc>
          <w:tcPr>
            <w:tcW w:w="9638" w:type="dxa"/>
            <w:gridSpan w:val="5"/>
            <w:tcBorders>
              <w:right w:val="single" w:color="000000" w:sz="12" w:space="0"/>
            </w:tcBorders>
            <w:vAlign w:val="bottom"/>
          </w:tcPr>
          <w:p w14:paraId="2DB34564">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内容4</w:t>
            </w:r>
          </w:p>
        </w:tc>
      </w:tr>
      <w:tr w14:paraId="0925EEAD">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right w:val="single" w:color="000000" w:sz="4" w:space="0"/>
            </w:tcBorders>
            <w:vAlign w:val="center"/>
          </w:tcPr>
          <w:p w14:paraId="0AE45E1C">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序号 </w:t>
            </w:r>
          </w:p>
        </w:tc>
        <w:tc>
          <w:tcPr>
            <w:tcW w:w="1373" w:type="dxa"/>
            <w:tcBorders>
              <w:top w:val="single" w:color="000000" w:sz="4" w:space="0"/>
              <w:left w:val="single" w:color="000000" w:sz="4" w:space="0"/>
            </w:tcBorders>
            <w:vAlign w:val="center"/>
          </w:tcPr>
          <w:p w14:paraId="4C11D476">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w:t>
            </w:r>
          </w:p>
        </w:tc>
        <w:tc>
          <w:tcPr>
            <w:tcW w:w="6022" w:type="dxa"/>
            <w:tcBorders>
              <w:top w:val="single" w:color="000000" w:sz="4" w:space="0"/>
              <w:left w:val="single" w:color="000000" w:sz="4" w:space="0"/>
              <w:bottom w:val="single" w:color="000000" w:sz="4" w:space="0"/>
              <w:right w:val="single" w:color="000000" w:sz="4" w:space="0"/>
            </w:tcBorders>
            <w:vAlign w:val="center"/>
          </w:tcPr>
          <w:p w14:paraId="44D03A1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规格型号/技术要求、参数</w:t>
            </w:r>
          </w:p>
        </w:tc>
        <w:tc>
          <w:tcPr>
            <w:tcW w:w="819" w:type="dxa"/>
            <w:tcBorders>
              <w:top w:val="single" w:color="000000" w:sz="4" w:space="0"/>
              <w:left w:val="single" w:color="000000" w:sz="4" w:space="0"/>
              <w:bottom w:val="single" w:color="000000" w:sz="4" w:space="0"/>
              <w:right w:val="single" w:color="000000" w:sz="4" w:space="0"/>
            </w:tcBorders>
            <w:vAlign w:val="center"/>
          </w:tcPr>
          <w:p w14:paraId="3265493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w:t>
            </w:r>
          </w:p>
        </w:tc>
        <w:tc>
          <w:tcPr>
            <w:tcW w:w="814" w:type="dxa"/>
            <w:tcBorders>
              <w:top w:val="single" w:color="000000" w:sz="4" w:space="0"/>
              <w:left w:val="single" w:color="000000" w:sz="4" w:space="0"/>
              <w:bottom w:val="single" w:color="000000" w:sz="4" w:space="0"/>
              <w:right w:val="single" w:color="000000" w:sz="4" w:space="0"/>
            </w:tcBorders>
            <w:vAlign w:val="center"/>
          </w:tcPr>
          <w:p w14:paraId="705C1B6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r>
      <w:tr w14:paraId="09A0F4FC">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7C7345F9">
            <w:pPr>
              <w:pageBreakBefore w:val="0"/>
              <w:kinsoku/>
              <w:wordWrap/>
              <w:overflowPunct/>
              <w:topLinePunct w:val="0"/>
              <w:bidi w:val="0"/>
              <w:spacing w:line="360" w:lineRule="auto"/>
              <w:ind w:left="0" w:leftChars="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373" w:type="dxa"/>
            <w:tcBorders>
              <w:top w:val="single" w:color="000000" w:sz="4" w:space="0"/>
              <w:left w:val="single" w:color="000000" w:sz="4" w:space="0"/>
              <w:bottom w:val="single" w:color="000000" w:sz="4" w:space="0"/>
              <w:right w:val="single" w:color="000000" w:sz="4" w:space="0"/>
            </w:tcBorders>
            <w:vAlign w:val="center"/>
          </w:tcPr>
          <w:p w14:paraId="2F0B720C">
            <w:pPr>
              <w:pageBreakBefore w:val="0"/>
              <w:kinsoku/>
              <w:wordWrap/>
              <w:overflowPunct/>
              <w:topLinePunct w:val="0"/>
              <w:bidi w:val="0"/>
              <w:spacing w:line="360" w:lineRule="auto"/>
              <w:ind w:left="0" w:leftChars="0" w:right="0"/>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低压柜检查、维护、保养</w:t>
            </w:r>
          </w:p>
        </w:tc>
        <w:tc>
          <w:tcPr>
            <w:tcW w:w="6022" w:type="dxa"/>
            <w:tcBorders>
              <w:top w:val="single" w:color="000000" w:sz="4" w:space="0"/>
              <w:left w:val="single" w:color="000000" w:sz="4" w:space="0"/>
              <w:bottom w:val="single" w:color="000000" w:sz="4" w:space="0"/>
              <w:right w:val="single" w:color="000000" w:sz="4" w:space="0"/>
            </w:tcBorders>
            <w:vAlign w:val="bottom"/>
          </w:tcPr>
          <w:p w14:paraId="2AF95A43">
            <w:pPr>
              <w:pageBreakBefore w:val="0"/>
              <w:kinsoku/>
              <w:wordWrap/>
              <w:overflowPunct/>
              <w:topLinePunct w:val="0"/>
              <w:bidi w:val="0"/>
              <w:spacing w:line="360" w:lineRule="auto"/>
              <w:ind w:left="0" w:leftChars="0" w:right="0"/>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GCS柜型、紧固母排及二次连接线，检查进出及分合闸操作机构、分合闸线圈、触点触头，检查连接电缆、连接端子紧固，清扫配电柜，紧固连接螺栓等。</w:t>
            </w:r>
          </w:p>
        </w:tc>
        <w:tc>
          <w:tcPr>
            <w:tcW w:w="819" w:type="dxa"/>
            <w:tcBorders>
              <w:top w:val="single" w:color="000000" w:sz="4" w:space="0"/>
              <w:left w:val="single" w:color="000000" w:sz="4" w:space="0"/>
              <w:bottom w:val="single" w:color="000000" w:sz="4" w:space="0"/>
              <w:right w:val="single" w:color="000000" w:sz="4" w:space="0"/>
            </w:tcBorders>
            <w:vAlign w:val="center"/>
          </w:tcPr>
          <w:p w14:paraId="1D97F11A">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面</w:t>
            </w:r>
          </w:p>
        </w:tc>
        <w:tc>
          <w:tcPr>
            <w:tcW w:w="814" w:type="dxa"/>
            <w:tcBorders>
              <w:top w:val="single" w:color="000000" w:sz="4" w:space="0"/>
              <w:left w:val="single" w:color="000000" w:sz="4" w:space="0"/>
              <w:bottom w:val="single" w:color="000000" w:sz="4" w:space="0"/>
              <w:right w:val="single" w:color="000000" w:sz="4" w:space="0"/>
            </w:tcBorders>
            <w:vAlign w:val="center"/>
          </w:tcPr>
          <w:p w14:paraId="45E1FC91">
            <w:pPr>
              <w:pageBreakBefore w:val="0"/>
              <w:kinsoku/>
              <w:wordWrap/>
              <w:overflowPunct/>
              <w:topLinePunct w:val="0"/>
              <w:bidi w:val="0"/>
              <w:spacing w:line="360" w:lineRule="auto"/>
              <w:ind w:left="0" w:leftChars="0" w:right="0"/>
              <w:jc w:val="center"/>
              <w:textAlignment w:val="bottom"/>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219</w:t>
            </w:r>
          </w:p>
        </w:tc>
      </w:tr>
      <w:tr w14:paraId="2F5BB1A8">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3D6B0E3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373" w:type="dxa"/>
            <w:tcBorders>
              <w:top w:val="single" w:color="000000" w:sz="4" w:space="0"/>
              <w:left w:val="single" w:color="000000" w:sz="4" w:space="0"/>
              <w:bottom w:val="single" w:color="000000" w:sz="4" w:space="0"/>
              <w:right w:val="single" w:color="000000" w:sz="4" w:space="0"/>
            </w:tcBorders>
            <w:vAlign w:val="center"/>
          </w:tcPr>
          <w:p w14:paraId="4284D02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高压开关柜</w:t>
            </w:r>
          </w:p>
        </w:tc>
        <w:tc>
          <w:tcPr>
            <w:tcW w:w="6022" w:type="dxa"/>
            <w:tcBorders>
              <w:top w:val="single" w:color="000000" w:sz="4" w:space="0"/>
              <w:left w:val="single" w:color="000000" w:sz="4" w:space="0"/>
              <w:bottom w:val="single" w:color="000000" w:sz="4" w:space="0"/>
              <w:right w:val="single" w:color="000000" w:sz="4" w:space="0"/>
            </w:tcBorders>
            <w:vAlign w:val="center"/>
          </w:tcPr>
          <w:p w14:paraId="3174138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紧固一次母排及二次连接线，检查进出及分合闸操作机构、触头通断，检查连接电缆、连接端子紧固，清扫配电柜，紧固连接螺栓等。</w:t>
            </w:r>
          </w:p>
        </w:tc>
        <w:tc>
          <w:tcPr>
            <w:tcW w:w="819" w:type="dxa"/>
            <w:tcBorders>
              <w:top w:val="single" w:color="000000" w:sz="4" w:space="0"/>
              <w:left w:val="single" w:color="000000" w:sz="4" w:space="0"/>
              <w:bottom w:val="single" w:color="000000" w:sz="4" w:space="0"/>
              <w:right w:val="single" w:color="000000" w:sz="4" w:space="0"/>
            </w:tcBorders>
            <w:vAlign w:val="center"/>
          </w:tcPr>
          <w:p w14:paraId="2CE8A1B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面</w:t>
            </w:r>
          </w:p>
        </w:tc>
        <w:tc>
          <w:tcPr>
            <w:tcW w:w="814" w:type="dxa"/>
            <w:tcBorders>
              <w:top w:val="single" w:color="000000" w:sz="4" w:space="0"/>
              <w:left w:val="single" w:color="000000" w:sz="4" w:space="0"/>
              <w:bottom w:val="single" w:color="000000" w:sz="4" w:space="0"/>
              <w:right w:val="single" w:color="000000" w:sz="4" w:space="0"/>
            </w:tcBorders>
            <w:vAlign w:val="center"/>
          </w:tcPr>
          <w:p w14:paraId="5A809DAD">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45</w:t>
            </w:r>
          </w:p>
        </w:tc>
      </w:tr>
      <w:tr w14:paraId="1AAF2DB0">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0F6F9860">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373" w:type="dxa"/>
            <w:tcBorders>
              <w:top w:val="single" w:color="000000" w:sz="4" w:space="0"/>
              <w:left w:val="single" w:color="000000" w:sz="4" w:space="0"/>
              <w:bottom w:val="single" w:color="000000" w:sz="4" w:space="0"/>
              <w:right w:val="single" w:color="000000" w:sz="4" w:space="0"/>
            </w:tcBorders>
            <w:vAlign w:val="center"/>
          </w:tcPr>
          <w:p w14:paraId="4238CDA5">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变压器</w:t>
            </w:r>
          </w:p>
        </w:tc>
        <w:tc>
          <w:tcPr>
            <w:tcW w:w="6022" w:type="dxa"/>
            <w:tcBorders>
              <w:top w:val="single" w:color="000000" w:sz="4" w:space="0"/>
              <w:left w:val="single" w:color="000000" w:sz="4" w:space="0"/>
              <w:bottom w:val="single" w:color="000000" w:sz="4" w:space="0"/>
              <w:right w:val="single" w:color="000000" w:sz="4" w:space="0"/>
            </w:tcBorders>
            <w:vAlign w:val="center"/>
          </w:tcPr>
          <w:p w14:paraId="7A6D09C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检查母排、电缆、紧固连接螺栓，检查冷却风机、仪表、保险及二次线，清扫除尘等。</w:t>
            </w:r>
          </w:p>
        </w:tc>
        <w:tc>
          <w:tcPr>
            <w:tcW w:w="819" w:type="dxa"/>
            <w:tcBorders>
              <w:top w:val="single" w:color="000000" w:sz="4" w:space="0"/>
              <w:left w:val="single" w:color="000000" w:sz="4" w:space="0"/>
              <w:bottom w:val="single" w:color="000000" w:sz="4" w:space="0"/>
              <w:right w:val="single" w:color="000000" w:sz="4" w:space="0"/>
            </w:tcBorders>
            <w:vAlign w:val="center"/>
          </w:tcPr>
          <w:p w14:paraId="5E13921E">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台</w:t>
            </w:r>
          </w:p>
        </w:tc>
        <w:tc>
          <w:tcPr>
            <w:tcW w:w="814" w:type="dxa"/>
            <w:tcBorders>
              <w:top w:val="single" w:color="000000" w:sz="4" w:space="0"/>
              <w:left w:val="single" w:color="000000" w:sz="4" w:space="0"/>
              <w:bottom w:val="single" w:color="000000" w:sz="4" w:space="0"/>
              <w:right w:val="single" w:color="000000" w:sz="4" w:space="0"/>
            </w:tcBorders>
            <w:vAlign w:val="center"/>
          </w:tcPr>
          <w:p w14:paraId="21945E9A">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26</w:t>
            </w:r>
          </w:p>
        </w:tc>
      </w:tr>
      <w:tr w14:paraId="787F68BB">
        <w:tblPrEx>
          <w:tblCellMar>
            <w:top w:w="15" w:type="dxa"/>
            <w:left w:w="15" w:type="dxa"/>
            <w:bottom w:w="15" w:type="dxa"/>
            <w:right w:w="15" w:type="dxa"/>
          </w:tblCellMar>
        </w:tblPrEx>
        <w:trPr>
          <w:trHeight w:val="454"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14:paraId="4D011718">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w:t>
            </w:r>
          </w:p>
        </w:tc>
        <w:tc>
          <w:tcPr>
            <w:tcW w:w="1373" w:type="dxa"/>
            <w:tcBorders>
              <w:top w:val="single" w:color="000000" w:sz="4" w:space="0"/>
              <w:left w:val="single" w:color="000000" w:sz="4" w:space="0"/>
              <w:bottom w:val="single" w:color="000000" w:sz="4" w:space="0"/>
              <w:right w:val="single" w:color="000000" w:sz="4" w:space="0"/>
            </w:tcBorders>
            <w:vAlign w:val="center"/>
          </w:tcPr>
          <w:p w14:paraId="22C2253F">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直流系统</w:t>
            </w:r>
          </w:p>
        </w:tc>
        <w:tc>
          <w:tcPr>
            <w:tcW w:w="6022" w:type="dxa"/>
            <w:tcBorders>
              <w:top w:val="single" w:color="000000" w:sz="4" w:space="0"/>
              <w:left w:val="single" w:color="000000" w:sz="4" w:space="0"/>
              <w:bottom w:val="single" w:color="000000" w:sz="4" w:space="0"/>
              <w:right w:val="single" w:color="000000" w:sz="4" w:space="0"/>
            </w:tcBorders>
            <w:vAlign w:val="center"/>
          </w:tcPr>
          <w:p w14:paraId="2FEB14A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紧固电缆及二次线连接，检查电池容量、进行电池充放电试验，清扫屏柜、紧固连接螺栓等。</w:t>
            </w:r>
          </w:p>
        </w:tc>
        <w:tc>
          <w:tcPr>
            <w:tcW w:w="819" w:type="dxa"/>
            <w:tcBorders>
              <w:top w:val="single" w:color="000000" w:sz="4" w:space="0"/>
              <w:left w:val="single" w:color="000000" w:sz="4" w:space="0"/>
              <w:bottom w:val="single" w:color="000000" w:sz="4" w:space="0"/>
              <w:right w:val="single" w:color="000000" w:sz="4" w:space="0"/>
            </w:tcBorders>
            <w:vAlign w:val="center"/>
          </w:tcPr>
          <w:p w14:paraId="6C847017">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套</w:t>
            </w:r>
          </w:p>
        </w:tc>
        <w:tc>
          <w:tcPr>
            <w:tcW w:w="814" w:type="dxa"/>
            <w:tcBorders>
              <w:top w:val="single" w:color="000000" w:sz="4" w:space="0"/>
              <w:left w:val="single" w:color="000000" w:sz="4" w:space="0"/>
              <w:bottom w:val="single" w:color="000000" w:sz="4" w:space="0"/>
              <w:right w:val="single" w:color="000000" w:sz="4" w:space="0"/>
            </w:tcBorders>
            <w:vAlign w:val="center"/>
          </w:tcPr>
          <w:p w14:paraId="4CB33383">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r>
      <w:tr w14:paraId="688C7105">
        <w:tblPrEx>
          <w:tblCellMar>
            <w:top w:w="15" w:type="dxa"/>
            <w:left w:w="15" w:type="dxa"/>
            <w:bottom w:w="15" w:type="dxa"/>
            <w:right w:w="15" w:type="dxa"/>
          </w:tblCellMar>
        </w:tblPrEx>
        <w:trPr>
          <w:trHeight w:val="454" w:hRule="atLeast"/>
          <w:jc w:val="center"/>
        </w:trPr>
        <w:tc>
          <w:tcPr>
            <w:tcW w:w="610" w:type="dxa"/>
            <w:tcBorders>
              <w:left w:val="single" w:color="000000" w:sz="4" w:space="0"/>
              <w:bottom w:val="single" w:color="000000" w:sz="4" w:space="0"/>
              <w:right w:val="single" w:color="000000" w:sz="4" w:space="0"/>
            </w:tcBorders>
            <w:vAlign w:val="center"/>
          </w:tcPr>
          <w:p w14:paraId="43839531">
            <w:pPr>
              <w:pageBreakBefore w:val="0"/>
              <w:kinsoku/>
              <w:wordWrap/>
              <w:overflowPunct/>
              <w:topLinePunct w:val="0"/>
              <w:bidi w:val="0"/>
              <w:spacing w:line="360" w:lineRule="auto"/>
              <w:ind w:left="0" w:leftChars="0" w:right="0"/>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c>
          <w:tcPr>
            <w:tcW w:w="9028" w:type="dxa"/>
            <w:gridSpan w:val="4"/>
            <w:tcBorders>
              <w:left w:val="single" w:color="000000" w:sz="4" w:space="0"/>
              <w:bottom w:val="single" w:color="000000" w:sz="4" w:space="0"/>
              <w:right w:val="single" w:color="000000" w:sz="4" w:space="0"/>
            </w:tcBorders>
            <w:vAlign w:val="center"/>
          </w:tcPr>
          <w:p w14:paraId="48A111E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对所有配电设备及设施外观、异常声响、设备污秽、设备渗漏、二次装置及辅助设施异常告警、配电室运行环境、缺陷和隐患跟踪检查等方面的常规性检查，主要包括：变压器的外观是否完好，有无异声、异味，风机启停是否正常等；高低压柜的外观、信号指示灯、电容器、综保及计量表运行状况；高低压电缆线路、连接头发热情况等；直流屏外观、电池情况。</w:t>
            </w:r>
          </w:p>
          <w:p w14:paraId="1EE3DAC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2、对所有配电室高低压柜（含柜顶）、单元抽屉、屏顶小母线、二次配线室、变压器室等设备区域进行检测和除尘清扫工作，对存在锈蚀或氧化的设备器件进行（打磨）处理，主要包括：</w:t>
            </w:r>
          </w:p>
          <w:p w14:paraId="534CB6D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高压柜：紧固一次母排及二次线连接；检查进出及分合闸操作机构、分合闸线圈、触头触点；检查连接电缆、接线端子紧固；清扫配电柜，紧固连接螺栓等；。</w:t>
            </w:r>
          </w:p>
          <w:p w14:paraId="7D8245D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变压器：检查外观；清扫尘土；检查母排、电缆、紧固连接螺栓；检查冷却风机、仪表、保险及二次线。</w:t>
            </w:r>
          </w:p>
          <w:p w14:paraId="0C97EE2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直流屏、电池柜：紧固电缆及二次线连接；检查电池容量、进行电池充放电试验；清扫屏柜，紧固连接螺栓等。</w:t>
            </w:r>
          </w:p>
          <w:p w14:paraId="65D0824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低压配电柜：紧固母排及二次线连接；检查进出及分合闸操作机构、触头通断；检查连接电缆、母排及连接电缆，接线端子紧固；清扫配电柜，紧固连接螺栓等。</w:t>
            </w:r>
          </w:p>
          <w:p w14:paraId="2230F05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电容器、接触器、保险：测量保险；紧固螺丝，检查紧固二次线；转换开关操作测试；电容补偿柜主电源开关操作测试；清扫尘土等。</w:t>
            </w:r>
          </w:p>
          <w:p w14:paraId="531E2AB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对所有配电室高压设备进行调试试验工作，主要包括：设备的绝缘电阻、直流耐压、泄漏电流、直流电阻、交流耐压、断口及整体以及相间绝缘、和综保设备的定值校验、保护校验、回路检测、整组传动等项目。</w:t>
            </w:r>
          </w:p>
        </w:tc>
      </w:tr>
    </w:tbl>
    <w:p w14:paraId="470111BE">
      <w:pPr>
        <w:pageBreakBefore w:val="0"/>
        <w:tabs>
          <w:tab w:val="left" w:pos="840"/>
        </w:tabs>
        <w:kinsoku/>
        <w:wordWrap/>
        <w:overflowPunct/>
        <w:topLinePunct w:val="0"/>
        <w:bidi w:val="0"/>
        <w:spacing w:before="0" w:after="0" w:line="360" w:lineRule="auto"/>
        <w:ind w:left="0" w:leftChars="0" w:right="0" w:firstLine="562" w:firstLineChars="200"/>
        <w:jc w:val="both"/>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6.校医院污水站房维护</w:t>
      </w:r>
    </w:p>
    <w:p w14:paraId="1C21804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highlight w:val="yellow"/>
        </w:rPr>
      </w:pPr>
      <w:r>
        <w:rPr>
          <w:rFonts w:hint="eastAsia" w:ascii="仿宋" w:hAnsi="仿宋" w:eastAsia="仿宋" w:cs="仿宋"/>
          <w:bCs/>
          <w:color w:val="auto"/>
          <w:sz w:val="28"/>
          <w:szCs w:val="28"/>
        </w:rPr>
        <w:t>根据《河南省加快补齐医疗机构污水处理设施短板提高污染治理能力工作方案》要求，校医院污水需要经过处理才可以排放，需要由供应商</w:t>
      </w:r>
      <w:r>
        <w:rPr>
          <w:rFonts w:hint="eastAsia" w:ascii="仿宋" w:hAnsi="仿宋" w:eastAsia="仿宋" w:cs="仿宋"/>
          <w:bCs/>
          <w:color w:val="auto"/>
          <w:sz w:val="28"/>
          <w:szCs w:val="28"/>
          <w:lang w:val="en-US" w:eastAsia="zh-CN"/>
        </w:rPr>
        <w:t>安排</w:t>
      </w:r>
      <w:r>
        <w:rPr>
          <w:rFonts w:hint="eastAsia" w:ascii="仿宋" w:hAnsi="仿宋" w:eastAsia="仿宋" w:cs="仿宋"/>
          <w:bCs/>
          <w:color w:val="auto"/>
          <w:sz w:val="28"/>
          <w:szCs w:val="28"/>
        </w:rPr>
        <w:t>专业人员对污水处理系统进行维保、消毒、加药、每日自检并做好记录、定期出具水质检测报告。</w:t>
      </w:r>
      <w:r>
        <w:rPr>
          <w:rFonts w:hint="eastAsia" w:ascii="仿宋" w:hAnsi="仿宋" w:eastAsia="仿宋" w:cs="仿宋"/>
          <w:bCs/>
          <w:color w:val="auto"/>
          <w:sz w:val="28"/>
          <w:szCs w:val="28"/>
          <w:highlight w:val="none"/>
        </w:rPr>
        <w:t>年费用4.5万元</w:t>
      </w:r>
      <w:r>
        <w:rPr>
          <w:rFonts w:hint="eastAsia" w:ascii="仿宋" w:hAnsi="仿宋" w:eastAsia="仿宋" w:cs="仿宋"/>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sz w:val="28"/>
          <w:szCs w:val="28"/>
          <w:highlight w:val="none"/>
        </w:rPr>
        <w:t>本项费用</w:t>
      </w:r>
      <w:r>
        <w:rPr>
          <w:rFonts w:hint="eastAsia" w:ascii="仿宋" w:hAnsi="仿宋" w:eastAsia="仿宋" w:cs="仿宋"/>
          <w:bCs/>
          <w:color w:val="auto"/>
          <w:sz w:val="28"/>
          <w:szCs w:val="28"/>
          <w:highlight w:val="none"/>
          <w:lang w:val="en-US" w:eastAsia="zh-CN"/>
        </w:rPr>
        <w:t>为最高限价且</w:t>
      </w:r>
      <w:r>
        <w:rPr>
          <w:rFonts w:hint="eastAsia" w:ascii="仿宋" w:hAnsi="仿宋" w:eastAsia="仿宋" w:cs="仿宋"/>
          <w:bCs/>
          <w:color w:val="auto"/>
          <w:sz w:val="28"/>
          <w:szCs w:val="28"/>
          <w:highlight w:val="none"/>
        </w:rPr>
        <w:t>单列。</w:t>
      </w:r>
    </w:p>
    <w:p w14:paraId="0897F01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维护要求：1、维保人员每天对污水处理系统进行巡查、加药（含氯消毒剂）、巡查，并做好巡查工作记录。2、排放废水满足《医疗机构水污染物排放标准》（GB18466－2005）要求。3、每季度结束前一周安排由有资质的第三方水质检测机构出具水质检测报告，水质满足第2条要求。</w:t>
      </w:r>
    </w:p>
    <w:p w14:paraId="0F16BF4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第2-6项内容，</w:t>
      </w:r>
      <w:r>
        <w:rPr>
          <w:rFonts w:hint="eastAsia" w:ascii="仿宋" w:hAnsi="仿宋" w:eastAsia="仿宋" w:cs="仿宋"/>
          <w:bCs/>
          <w:color w:val="auto"/>
          <w:sz w:val="28"/>
          <w:szCs w:val="28"/>
          <w:lang w:val="en-US" w:eastAsia="zh-CN"/>
        </w:rPr>
        <w:t>所列费用为初步预算，</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采购人和</w:t>
      </w:r>
      <w:r>
        <w:rPr>
          <w:rFonts w:hint="eastAsia" w:ascii="仿宋" w:hAnsi="仿宋" w:eastAsia="仿宋" w:cs="仿宋"/>
          <w:bCs/>
          <w:color w:val="auto"/>
          <w:sz w:val="28"/>
          <w:szCs w:val="28"/>
        </w:rPr>
        <w:t>供应商</w:t>
      </w:r>
      <w:r>
        <w:rPr>
          <w:rFonts w:hint="eastAsia" w:ascii="仿宋" w:hAnsi="仿宋" w:eastAsia="仿宋" w:cs="仿宋"/>
          <w:bCs/>
          <w:color w:val="auto"/>
          <w:sz w:val="28"/>
          <w:szCs w:val="28"/>
          <w:lang w:val="en-US" w:eastAsia="zh-CN"/>
        </w:rPr>
        <w:t>考察市场后共同确定</w:t>
      </w:r>
      <w:r>
        <w:rPr>
          <w:rFonts w:hint="eastAsia" w:ascii="仿宋" w:hAnsi="仿宋" w:eastAsia="仿宋" w:cs="仿宋"/>
          <w:bCs/>
          <w:color w:val="auto"/>
          <w:sz w:val="28"/>
          <w:szCs w:val="28"/>
        </w:rPr>
        <w:t>具有资质的第三方公司实施，项目完成后</w:t>
      </w:r>
      <w:r>
        <w:rPr>
          <w:rFonts w:hint="eastAsia" w:ascii="仿宋" w:hAnsi="仿宋" w:eastAsia="仿宋" w:cs="仿宋"/>
          <w:bCs/>
          <w:color w:val="auto"/>
          <w:sz w:val="28"/>
          <w:szCs w:val="28"/>
          <w:lang w:val="en-US" w:eastAsia="zh-CN"/>
        </w:rPr>
        <w:t>由</w:t>
      </w:r>
      <w:r>
        <w:rPr>
          <w:rFonts w:hint="eastAsia" w:ascii="仿宋" w:hAnsi="仿宋" w:eastAsia="仿宋" w:cs="仿宋"/>
          <w:bCs/>
          <w:color w:val="auto"/>
          <w:sz w:val="28"/>
          <w:szCs w:val="28"/>
        </w:rPr>
        <w:t>采购人验收，采购人管理部门验收通过后，供应商先行支付给第三方公司，</w:t>
      </w:r>
      <w:r>
        <w:rPr>
          <w:rFonts w:hint="eastAsia" w:ascii="仿宋" w:hAnsi="仿宋" w:eastAsia="仿宋" w:cs="仿宋"/>
          <w:bCs/>
          <w:color w:val="auto"/>
          <w:sz w:val="28"/>
          <w:szCs w:val="28"/>
          <w:lang w:val="en-US" w:eastAsia="zh-CN"/>
        </w:rPr>
        <w:t>服务期</w:t>
      </w:r>
      <w:r>
        <w:rPr>
          <w:rFonts w:hint="eastAsia" w:ascii="仿宋" w:hAnsi="仿宋" w:eastAsia="仿宋" w:cs="仿宋"/>
          <w:bCs/>
          <w:color w:val="auto"/>
          <w:sz w:val="28"/>
          <w:szCs w:val="28"/>
        </w:rPr>
        <w:t>最后一个月支付物业费用时，采购人将2-6项</w:t>
      </w:r>
      <w:r>
        <w:rPr>
          <w:rFonts w:hint="eastAsia" w:ascii="仿宋" w:hAnsi="仿宋" w:eastAsia="仿宋" w:cs="仿宋"/>
          <w:bCs/>
          <w:color w:val="auto"/>
          <w:sz w:val="28"/>
          <w:szCs w:val="28"/>
          <w:lang w:val="en-US" w:eastAsia="zh-CN"/>
        </w:rPr>
        <w:t>实际产生的费用</w:t>
      </w:r>
      <w:r>
        <w:rPr>
          <w:rFonts w:hint="eastAsia" w:ascii="仿宋" w:hAnsi="仿宋" w:eastAsia="仿宋" w:cs="仿宋"/>
          <w:bCs/>
          <w:color w:val="auto"/>
          <w:sz w:val="28"/>
          <w:szCs w:val="28"/>
        </w:rPr>
        <w:t>一并支付给供应商。</w:t>
      </w:r>
    </w:p>
    <w:p w14:paraId="73A24FA0">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服务标准及质量要求</w:t>
      </w:r>
    </w:p>
    <w:p w14:paraId="6924BA01">
      <w:pPr>
        <w:pageBreakBefore w:val="0"/>
        <w:tabs>
          <w:tab w:val="left" w:pos="424"/>
        </w:tabs>
        <w:kinsoku/>
        <w:wordWrap/>
        <w:overflowPunct/>
        <w:topLinePunct w:val="0"/>
        <w:bidi w:val="0"/>
        <w:spacing w:line="360" w:lineRule="auto"/>
        <w:ind w:left="0" w:leftChars="0" w:right="0"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1.在采购人提出的维修服务标准和质量标准的基础上，由供应商提供规范化的维修服务标准、服务质量控制标准和服务评价与改进标准。要建立完善的项目维修管理规章制度和工作流程。</w:t>
      </w:r>
    </w:p>
    <w:p w14:paraId="5AB3E879">
      <w:pPr>
        <w:pageBreakBefore w:val="0"/>
        <w:tabs>
          <w:tab w:val="left" w:pos="424"/>
        </w:tabs>
        <w:kinsoku/>
        <w:wordWrap/>
        <w:overflowPunct/>
        <w:topLinePunct w:val="0"/>
        <w:bidi w:val="0"/>
        <w:spacing w:line="360" w:lineRule="auto"/>
        <w:ind w:left="0" w:leftChars="0" w:right="0" w:firstLine="562"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物业维修的标准和质量要求</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98"/>
        <w:gridCol w:w="1098"/>
        <w:gridCol w:w="3031"/>
        <w:gridCol w:w="1769"/>
        <w:gridCol w:w="577"/>
      </w:tblGrid>
      <w:tr w14:paraId="33A6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21C2F428">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项目</w:t>
            </w:r>
          </w:p>
        </w:tc>
        <w:tc>
          <w:tcPr>
            <w:tcW w:w="2896" w:type="dxa"/>
            <w:gridSpan w:val="2"/>
            <w:vAlign w:val="center"/>
          </w:tcPr>
          <w:p w14:paraId="15390455">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作业频率</w:t>
            </w:r>
          </w:p>
        </w:tc>
        <w:tc>
          <w:tcPr>
            <w:tcW w:w="5377" w:type="dxa"/>
            <w:gridSpan w:val="3"/>
            <w:vAlign w:val="center"/>
          </w:tcPr>
          <w:p w14:paraId="18F771B2">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服务标准</w:t>
            </w:r>
          </w:p>
        </w:tc>
      </w:tr>
      <w:tr w14:paraId="163B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tcPr>
          <w:p w14:paraId="523BB7C1">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0BC7B6AC">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3E480F1D">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20B476DF">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二次供水、排水</w:t>
            </w:r>
          </w:p>
        </w:tc>
        <w:tc>
          <w:tcPr>
            <w:tcW w:w="2896" w:type="dxa"/>
            <w:gridSpan w:val="2"/>
          </w:tcPr>
          <w:p w14:paraId="23250FC8">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1、每</w:t>
            </w: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zh-CN"/>
              </w:rPr>
              <w:t>小时对给水设备巡查</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次；管线及地下室集水井排水设备每天巡查</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 2、高压水泵等设备每月保养检修1次，每年大修</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 3、水箱每年清洗消毒2次，化验水质2次</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zh-CN"/>
              </w:rPr>
              <w:t>4、每周进行</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次环境卫生保洁</w:t>
            </w:r>
          </w:p>
        </w:tc>
        <w:tc>
          <w:tcPr>
            <w:tcW w:w="5377" w:type="dxa"/>
            <w:gridSpan w:val="3"/>
          </w:tcPr>
          <w:p w14:paraId="3D00F41F">
            <w:pPr>
              <w:pageBreakBefore w:val="0"/>
              <w:kinsoku/>
              <w:wordWrap/>
              <w:overflowPunct/>
              <w:topLinePunct w:val="0"/>
              <w:autoSpaceDE w:val="0"/>
              <w:autoSpaceDN w:val="0"/>
              <w:bidi w:val="0"/>
              <w:adjustRightInd w:val="0"/>
              <w:spacing w:line="360" w:lineRule="auto"/>
              <w:ind w:left="0" w:leftChars="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1、保证正常生活饮用水，有停水或水污染事件发生时，有应急预案并能及时启动。</w:t>
            </w: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zh-CN"/>
              </w:rPr>
              <w:t>、由专人对水箱、水泵进行封闭式管理，有严格的管理制度并上墙；</w:t>
            </w: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zh-CN"/>
              </w:rPr>
              <w:t>、每次水泵或管道或水箱内维修后，进行及时清洗，同时进行水质化验并出化验报告单。确保水质符合饮用水标准；</w:t>
            </w: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zh-CN"/>
              </w:rPr>
              <w:t>、设备及环境卫生清洁，符合饮用水卫生标准；</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zh-CN"/>
              </w:rPr>
              <w:t>、保证雨季或暴雨天气地下室集水井排水设备的正常运行。</w:t>
            </w:r>
          </w:p>
        </w:tc>
      </w:tr>
      <w:tr w14:paraId="1092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tcPr>
          <w:p w14:paraId="4EDBC24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49E7CFC6">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77EFA87F">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空调系统</w:t>
            </w:r>
          </w:p>
        </w:tc>
        <w:tc>
          <w:tcPr>
            <w:tcW w:w="2896" w:type="dxa"/>
            <w:gridSpan w:val="2"/>
          </w:tcPr>
          <w:p w14:paraId="41A1134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rPr>
              <w:t>每天</w:t>
            </w:r>
            <w:r>
              <w:rPr>
                <w:rFonts w:hint="eastAsia" w:ascii="仿宋" w:hAnsi="仿宋" w:eastAsia="仿宋" w:cs="仿宋"/>
                <w:b w:val="0"/>
                <w:bCs w:val="0"/>
                <w:color w:val="auto"/>
                <w:sz w:val="24"/>
                <w:szCs w:val="24"/>
                <w:lang w:val="zh-CN"/>
              </w:rPr>
              <w:t>对设备巡查</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次并做好抄表及巡查记录； 2、四月机组检修；五月室内风机排风管保养消毒；十月保养全部制冷设备；3、每周进行</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次设备表面及环境卫生保洁</w:t>
            </w:r>
          </w:p>
        </w:tc>
        <w:tc>
          <w:tcPr>
            <w:tcW w:w="5377" w:type="dxa"/>
            <w:gridSpan w:val="3"/>
          </w:tcPr>
          <w:p w14:paraId="4AAD4BAE">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1、工作人员持证上岗，有严格的岗位职责，确保系统正常运行；2、空调系统进行巡视，保证运行正常，无漏水现象；3、保障6月至9月的制冷运行，室内温度维持在26度；保障11月至次年3月的供热运行，室内温度不低于16摄氏度；4、空调系统出现故障后，维修人员在15分钟内到达现场维修，小修及时处理，中修、大修及时联系厂家技术人员并协助维修；维修及时率100%；有故障应急处理方案。</w:t>
            </w:r>
          </w:p>
        </w:tc>
      </w:tr>
      <w:tr w14:paraId="052D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tcPr>
          <w:p w14:paraId="5E94662F">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7BE19DE7">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4297DE35">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p>
          <w:p w14:paraId="30CC77C6">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供暖</w:t>
            </w:r>
            <w:r>
              <w:rPr>
                <w:rFonts w:hint="eastAsia" w:ascii="仿宋" w:hAnsi="仿宋" w:eastAsia="仿宋" w:cs="仿宋"/>
                <w:b w:val="0"/>
                <w:bCs w:val="0"/>
                <w:color w:val="auto"/>
                <w:sz w:val="24"/>
                <w:szCs w:val="24"/>
              </w:rPr>
              <w:t>系统维护维修</w:t>
            </w:r>
          </w:p>
        </w:tc>
        <w:tc>
          <w:tcPr>
            <w:tcW w:w="2896" w:type="dxa"/>
            <w:gridSpan w:val="2"/>
          </w:tcPr>
          <w:p w14:paraId="57EA58F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1、每天按照学校冬季供暖用途规定时间进行运行</w:t>
            </w:r>
            <w:r>
              <w:rPr>
                <w:rFonts w:hint="eastAsia" w:ascii="仿宋" w:hAnsi="仿宋" w:eastAsia="仿宋" w:cs="仿宋"/>
                <w:b w:val="0"/>
                <w:bCs w:val="0"/>
                <w:color w:val="auto"/>
                <w:sz w:val="24"/>
                <w:szCs w:val="24"/>
              </w:rPr>
              <w:t>维护</w:t>
            </w:r>
            <w:r>
              <w:rPr>
                <w:rFonts w:hint="eastAsia" w:ascii="仿宋" w:hAnsi="仿宋" w:eastAsia="仿宋" w:cs="仿宋"/>
                <w:b w:val="0"/>
                <w:bCs w:val="0"/>
                <w:color w:val="auto"/>
                <w:sz w:val="24"/>
                <w:szCs w:val="24"/>
                <w:lang w:val="zh-CN"/>
              </w:rPr>
              <w:t>； 2、设备每月保养1次，小型故障及处理，每年大修</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 3、每周进行</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次设备表面及环境卫生保洁</w:t>
            </w:r>
          </w:p>
        </w:tc>
        <w:tc>
          <w:tcPr>
            <w:tcW w:w="5377" w:type="dxa"/>
            <w:gridSpan w:val="3"/>
          </w:tcPr>
          <w:p w14:paraId="70A0A784">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1、工作人员有严格的岗位职责，严格按照操作规程进行，确保系统正常运行；2、每天进行系统巡视自查，保证运行正常，无漏水现象</w:t>
            </w: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zh-CN"/>
              </w:rPr>
              <w:t>、系统出现故障后，维修人员在15分钟内到达现场维修，小修及时处理，中修、大修及时联系厂家技术人员并协助维修；维修及时率100%；有故障应急处理方案。</w:t>
            </w: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zh-CN"/>
              </w:rPr>
              <w:t>、假期设备停止运行时及时保养和维护，确保设备完好率100%；</w:t>
            </w:r>
          </w:p>
        </w:tc>
      </w:tr>
      <w:tr w14:paraId="32B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093812BF">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学生公寓各项维护、维修</w:t>
            </w:r>
          </w:p>
        </w:tc>
        <w:tc>
          <w:tcPr>
            <w:tcW w:w="2896" w:type="dxa"/>
            <w:gridSpan w:val="2"/>
            <w:vAlign w:val="center"/>
          </w:tcPr>
          <w:p w14:paraId="4D3D7C82">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学生公寓</w:t>
            </w:r>
            <w:r>
              <w:rPr>
                <w:rFonts w:hint="eastAsia" w:ascii="仿宋" w:hAnsi="仿宋" w:eastAsia="仿宋" w:cs="仿宋"/>
                <w:b w:val="0"/>
                <w:bCs w:val="0"/>
                <w:color w:val="auto"/>
                <w:sz w:val="24"/>
                <w:szCs w:val="24"/>
              </w:rPr>
              <w:t>各项</w:t>
            </w:r>
            <w:r>
              <w:rPr>
                <w:rFonts w:hint="eastAsia" w:ascii="仿宋" w:hAnsi="仿宋" w:eastAsia="仿宋" w:cs="仿宋"/>
                <w:b w:val="0"/>
                <w:bCs w:val="0"/>
                <w:color w:val="auto"/>
                <w:sz w:val="24"/>
                <w:szCs w:val="24"/>
                <w:lang w:val="zh-CN"/>
              </w:rPr>
              <w:t>设施、</w:t>
            </w:r>
            <w:r>
              <w:rPr>
                <w:rFonts w:hint="eastAsia" w:ascii="仿宋" w:hAnsi="仿宋" w:eastAsia="仿宋" w:cs="仿宋"/>
                <w:b w:val="0"/>
                <w:bCs w:val="0"/>
                <w:color w:val="auto"/>
                <w:sz w:val="24"/>
                <w:szCs w:val="24"/>
              </w:rPr>
              <w:t>设备、管道、线路、家具等</w:t>
            </w:r>
            <w:r>
              <w:rPr>
                <w:rFonts w:hint="eastAsia" w:ascii="仿宋" w:hAnsi="仿宋" w:eastAsia="仿宋" w:cs="仿宋"/>
                <w:b w:val="0"/>
                <w:bCs w:val="0"/>
                <w:color w:val="auto"/>
                <w:sz w:val="24"/>
                <w:szCs w:val="24"/>
                <w:lang w:val="zh-CN"/>
              </w:rPr>
              <w:t>维修及时、妥善</w:t>
            </w:r>
          </w:p>
        </w:tc>
        <w:tc>
          <w:tcPr>
            <w:tcW w:w="5377" w:type="dxa"/>
            <w:gridSpan w:val="3"/>
          </w:tcPr>
          <w:p w14:paraId="6ECBDC2E">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加强维修人员的培训，提高专业技能；2、执行24小时抢修制度，设立报修电话（值班室），接到报修及时通知维修人员，并做好相关记录；3、维修人员接到报修电话后，需立即赶赴现场进行维修，零星维修及时完成；4、维修后，进行跟踪回访，对维修质量进行检验确认。</w:t>
            </w:r>
          </w:p>
        </w:tc>
      </w:tr>
      <w:tr w14:paraId="3EB6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3DAA5B19">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中水系统</w:t>
            </w:r>
          </w:p>
        </w:tc>
        <w:tc>
          <w:tcPr>
            <w:tcW w:w="2896" w:type="dxa"/>
            <w:gridSpan w:val="2"/>
            <w:vAlign w:val="center"/>
          </w:tcPr>
          <w:p w14:paraId="4499D00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rPr>
              <w:t>每天</w:t>
            </w:r>
            <w:r>
              <w:rPr>
                <w:rFonts w:hint="eastAsia" w:ascii="仿宋" w:hAnsi="仿宋" w:eastAsia="仿宋" w:cs="仿宋"/>
                <w:b w:val="0"/>
                <w:bCs w:val="0"/>
                <w:color w:val="auto"/>
                <w:sz w:val="24"/>
                <w:szCs w:val="24"/>
                <w:lang w:val="zh-CN"/>
              </w:rPr>
              <w:t>对设备巡查</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次并做好抄表及巡查记录；</w:t>
            </w:r>
          </w:p>
          <w:p w14:paraId="5BC17AF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2、做好中水站房设施设备运行维护，确保中水正常供应。</w:t>
            </w:r>
          </w:p>
          <w:p w14:paraId="4381CB22">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3、每2天反冲洗一次，避开用水高峰时段。</w:t>
            </w:r>
          </w:p>
          <w:p w14:paraId="515E17BD">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4、收集池每季度清洗一次，二沉池每半月清淤一次。</w:t>
            </w:r>
          </w:p>
          <w:p w14:paraId="48315B8E">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zh-CN"/>
              </w:rPr>
              <w:t>每周进行</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zh-CN"/>
              </w:rPr>
              <w:t>次设备表面及环境卫生保洁</w:t>
            </w:r>
          </w:p>
        </w:tc>
        <w:tc>
          <w:tcPr>
            <w:tcW w:w="5377" w:type="dxa"/>
            <w:gridSpan w:val="3"/>
          </w:tcPr>
          <w:p w14:paraId="7A2B364B">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1、工作人员</w:t>
            </w:r>
            <w:r>
              <w:rPr>
                <w:rFonts w:hint="eastAsia" w:ascii="仿宋" w:hAnsi="仿宋" w:eastAsia="仿宋" w:cs="仿宋"/>
                <w:b w:val="0"/>
                <w:bCs w:val="0"/>
                <w:color w:val="auto"/>
                <w:sz w:val="24"/>
                <w:szCs w:val="24"/>
                <w:lang w:val="en-US" w:eastAsia="zh-CN"/>
              </w:rPr>
              <w:t>严守</w:t>
            </w:r>
            <w:r>
              <w:rPr>
                <w:rFonts w:hint="eastAsia" w:ascii="仿宋" w:hAnsi="仿宋" w:eastAsia="仿宋" w:cs="仿宋"/>
                <w:b w:val="0"/>
                <w:bCs w:val="0"/>
                <w:color w:val="auto"/>
                <w:sz w:val="24"/>
                <w:szCs w:val="24"/>
                <w:lang w:val="zh-CN"/>
              </w:rPr>
              <w:t>岗位职责，确保系统正常运行；</w:t>
            </w:r>
          </w:p>
          <w:p w14:paraId="55AE03DF">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2、每周观察厌氧池、好氧池过滤系统和菌落生长情况，</w:t>
            </w:r>
            <w:r>
              <w:rPr>
                <w:rFonts w:hint="eastAsia" w:ascii="仿宋" w:hAnsi="仿宋" w:eastAsia="仿宋" w:cs="仿宋"/>
                <w:b w:val="0"/>
                <w:bCs w:val="0"/>
                <w:color w:val="auto"/>
                <w:sz w:val="24"/>
                <w:szCs w:val="24"/>
              </w:rPr>
              <w:t>每季度抽检一次水质，由有资质的第三方检测机构出具检测报告，要求</w:t>
            </w:r>
            <w:r>
              <w:rPr>
                <w:rFonts w:hint="eastAsia" w:ascii="仿宋" w:hAnsi="仿宋" w:eastAsia="仿宋" w:cs="仿宋"/>
                <w:b w:val="0"/>
                <w:bCs w:val="0"/>
                <w:color w:val="auto"/>
                <w:sz w:val="24"/>
                <w:szCs w:val="24"/>
                <w:lang w:val="zh-CN"/>
              </w:rPr>
              <w:t>生产的中水水质符合城市二类用水标准，且无异味，收集池、二沉池池底无淤泥；</w:t>
            </w:r>
          </w:p>
          <w:p w14:paraId="4E63AD50">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3、系统出现故障后，维修人员在15分钟内到达现场维修，小修及时处理，中修、大修及时联系厂家技术人员并协助维修；维修及时率100%，有故障应急处理方案。</w:t>
            </w:r>
          </w:p>
          <w:p w14:paraId="3134C370">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zh-CN"/>
              </w:rPr>
              <w:t>、假期设备停止运行时及时保养和维护，确保设备完好率100%；</w:t>
            </w:r>
          </w:p>
        </w:tc>
      </w:tr>
      <w:tr w14:paraId="0EA2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63A81C3A">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校医院污水处理系统</w:t>
            </w:r>
          </w:p>
        </w:tc>
        <w:tc>
          <w:tcPr>
            <w:tcW w:w="2896" w:type="dxa"/>
            <w:gridSpan w:val="2"/>
            <w:vAlign w:val="center"/>
          </w:tcPr>
          <w:p w14:paraId="6A56E1DD">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1、每天加入含氯消毒剂。</w:t>
            </w:r>
          </w:p>
          <w:p w14:paraId="0D3966AF">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2、运维人员做好每日巡查和记录。</w:t>
            </w:r>
          </w:p>
          <w:p w14:paraId="358A09B3">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3、排放水质符合相关标准要求。</w:t>
            </w:r>
          </w:p>
        </w:tc>
        <w:tc>
          <w:tcPr>
            <w:tcW w:w="5377" w:type="dxa"/>
            <w:gridSpan w:val="3"/>
          </w:tcPr>
          <w:p w14:paraId="27E966D9">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1、维保人员每天对污水处理系统进行巡查、加药（含氯消毒剂）、值班，并做好值班记录。</w:t>
            </w:r>
          </w:p>
          <w:p w14:paraId="38EC0A80">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2、排放废水满足《医疗机构水污染物排放标准》（GB18466－2005）要求。</w:t>
            </w:r>
          </w:p>
          <w:p w14:paraId="0D0F71E9">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3、每季度结束前一周安排由有资质的第三方水质检测机构出具水质检测报告，水质满足第2条要求。</w:t>
            </w:r>
          </w:p>
          <w:p w14:paraId="15C2D1C1">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4、系统出现故障后，维修人员在15分钟内到达现场维修，小修及时处理，中修、大修及时联系厂家技术人员并协助维修；维修及时率100%，有故障应急处理方案。</w:t>
            </w:r>
          </w:p>
          <w:p w14:paraId="694FBD1F">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zh-CN"/>
              </w:rPr>
              <w:t>、假期设备停止运行时及时保养和维护，确保设备完好率100%。</w:t>
            </w:r>
          </w:p>
        </w:tc>
      </w:tr>
      <w:tr w14:paraId="26B2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1B4FE9C3">
            <w:pPr>
              <w:pStyle w:val="156"/>
              <w:pageBreakBefore w:val="0"/>
              <w:kinsoku/>
              <w:wordWrap/>
              <w:overflowPunct/>
              <w:topLinePunct w:val="0"/>
              <w:bidi w:val="0"/>
              <w:spacing w:line="360" w:lineRule="auto"/>
              <w:ind w:left="0" w:leftChars="0" w:right="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屋面、地面、</w:t>
            </w:r>
            <w:r>
              <w:rPr>
                <w:rFonts w:hint="eastAsia" w:ascii="仿宋" w:hAnsi="仿宋" w:eastAsia="仿宋" w:cs="仿宋"/>
                <w:b w:val="0"/>
                <w:bCs w:val="0"/>
                <w:color w:val="auto"/>
                <w:sz w:val="24"/>
                <w:szCs w:val="24"/>
              </w:rPr>
              <w:t>墙面、</w:t>
            </w:r>
            <w:r>
              <w:rPr>
                <w:rFonts w:hint="eastAsia" w:ascii="仿宋" w:hAnsi="仿宋" w:eastAsia="仿宋" w:cs="仿宋"/>
                <w:b w:val="0"/>
                <w:bCs w:val="0"/>
                <w:color w:val="auto"/>
                <w:sz w:val="24"/>
                <w:szCs w:val="24"/>
                <w:lang w:val="zh-CN"/>
              </w:rPr>
              <w:t>顶棚、室内外抹</w:t>
            </w:r>
            <w:r>
              <w:rPr>
                <w:rFonts w:hint="eastAsia" w:ascii="仿宋" w:hAnsi="仿宋" w:eastAsia="仿宋" w:cs="仿宋"/>
                <w:b w:val="0"/>
                <w:bCs w:val="0"/>
                <w:color w:val="auto"/>
                <w:sz w:val="24"/>
                <w:szCs w:val="24"/>
              </w:rPr>
              <w:t>灰</w:t>
            </w:r>
            <w:r>
              <w:rPr>
                <w:rFonts w:hint="eastAsia" w:ascii="仿宋" w:hAnsi="仿宋" w:eastAsia="仿宋" w:cs="仿宋"/>
                <w:b w:val="0"/>
                <w:bCs w:val="0"/>
                <w:color w:val="auto"/>
                <w:sz w:val="24"/>
                <w:szCs w:val="24"/>
                <w:lang w:val="zh-CN"/>
              </w:rPr>
              <w:t>、门窗、玻璃、上下水、电气线路及设施、卫生设备、垃圾道等</w:t>
            </w:r>
            <w:r>
              <w:rPr>
                <w:rFonts w:hint="eastAsia" w:ascii="仿宋" w:hAnsi="仿宋" w:eastAsia="仿宋" w:cs="仿宋"/>
                <w:b w:val="0"/>
                <w:bCs w:val="0"/>
                <w:color w:val="auto"/>
                <w:sz w:val="24"/>
                <w:szCs w:val="24"/>
              </w:rPr>
              <w:t>零星维修</w:t>
            </w:r>
          </w:p>
        </w:tc>
        <w:tc>
          <w:tcPr>
            <w:tcW w:w="8273" w:type="dxa"/>
            <w:gridSpan w:val="5"/>
            <w:vAlign w:val="center"/>
          </w:tcPr>
          <w:p w14:paraId="052482E4">
            <w:pPr>
              <w:pageBreakBefore w:val="0"/>
              <w:numPr>
                <w:ilvl w:val="0"/>
                <w:numId w:val="6"/>
              </w:numPr>
              <w:kinsoku/>
              <w:wordWrap/>
              <w:overflowPunct/>
              <w:topLinePunct w:val="0"/>
              <w:autoSpaceDE w:val="0"/>
              <w:autoSpaceDN w:val="0"/>
              <w:bidi w:val="0"/>
              <w:adjustRightInd w:val="0"/>
              <w:spacing w:line="360" w:lineRule="auto"/>
              <w:ind w:left="0" w:leftChars="0"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房屋土建及设备小修标准</w:t>
            </w:r>
          </w:p>
          <w:p w14:paraId="6ECB9050">
            <w:pPr>
              <w:pageBreakBefore w:val="0"/>
              <w:kinsoku/>
              <w:wordWrap/>
              <w:overflowPunct/>
              <w:topLinePunct w:val="0"/>
              <w:autoSpaceDE w:val="0"/>
              <w:autoSpaceDN w:val="0"/>
              <w:bidi w:val="0"/>
              <w:adjustRightInd w:val="0"/>
              <w:spacing w:line="360" w:lineRule="auto"/>
              <w:ind w:left="0" w:leftChars="0"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时限要求：急迫性小修项目包括：楼房厕浴间排污管道堵塞；室内给水系统小修、换管；烟道堵塞等。自接到报修之时起2小时到达现场。除急迫性小修之外的零修项目为维护性小修：自接到报修之日起，三日之内处理或预约修复日期。</w:t>
            </w:r>
          </w:p>
          <w:p w14:paraId="0DD73C10">
            <w:pPr>
              <w:pageBreakBefore w:val="0"/>
              <w:kinsoku/>
              <w:wordWrap/>
              <w:overflowPunct/>
              <w:topLinePunct w:val="0"/>
              <w:autoSpaceDE w:val="0"/>
              <w:autoSpaceDN w:val="0"/>
              <w:bidi w:val="0"/>
              <w:adjustRightInd w:val="0"/>
              <w:spacing w:line="360" w:lineRule="auto"/>
              <w:ind w:left="0" w:leftChars="0"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一)室内地面、散水小修内容：普通水泥楼面和地面起砂空鼓、影响使用，楼面或地面的块料面层松动的、散水严重破损影响其功能的，应修补；木楼板损坏、松动、残缺的，应修复，如磨损过薄影响安全的，可局部拆换；质量标准：普通水泥楼面地面及散维修后应平整、光滑、接槎平顺；木质楼地面维修后应牢固、平整、拼缝严密、符合相应规范要求。</w:t>
            </w:r>
          </w:p>
          <w:p w14:paraId="0184BCC4">
            <w:pPr>
              <w:pageBreakBefore w:val="0"/>
              <w:kinsoku/>
              <w:wordWrap/>
              <w:overflowPunct/>
              <w:topLinePunct w:val="0"/>
              <w:autoSpaceDE w:val="0"/>
              <w:autoSpaceDN w:val="0"/>
              <w:bidi w:val="0"/>
              <w:adjustRightInd w:val="0"/>
              <w:spacing w:line="360" w:lineRule="auto"/>
              <w:ind w:left="0" w:leftChars="0"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二)室内墙面及顶棚小修内容：内墙及踢脚线抹灰空鼓、剥落的应修补；顶棚抹灰空鼓、剥落的应修补；质量标准：修缮后的内墙面及灰顶棚应恢复原有使用功能，抹面应接槎平整、不开裂、不空鼓、不起泡、不翘边，面层与基层结合牢固、符合相应规范要求。</w:t>
            </w:r>
          </w:p>
          <w:p w14:paraId="7C1652BF">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（三）检修门窗小修内容：钢木门窗框松动、门窗扇开关不灵活、脱榫、 糟朽、开焊、小五金缺损的应进行修补；质量标准：修后的钢木门窗应开关灵活不松动，框与墙体结合牢固，五金齐全。玻璃装钉牢固，腻子饱满，窗纱绷紧，不露纱头、符合相应规范要求。</w:t>
            </w:r>
          </w:p>
          <w:p w14:paraId="394B5D2D">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四）烟道、垃圾道等小修内容：烟道裂缝、破损、堵塞现象；垃圾道堵塞；垃圾道、出垃圾门及出屋面排气孔损坏的应修复；质量标准：修缮后烟道及垃圾道应畅通，垃圾斗、出垃圾门零件齐全，排气孔不向垃圾道内漏水、符合相应规范要求。</w:t>
            </w:r>
          </w:p>
          <w:p w14:paraId="182E83BA">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五）清扫屋面、采光井、雨落管等小修内容：每年应将屋面、雨水口及采光井积存的杂物清扫干净；雨落管局部残缺、破损应更换；质量标准：屋面采光井应清扫干净，雨落管修缮后应补齐五金配件、符合相应规范要求。</w:t>
            </w:r>
          </w:p>
          <w:p w14:paraId="1E3056EF">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（六）屋面补漏小修内容：屋面局部滴漏以至影响使用的属于屋面局部补漏范围；质量标准：屋面部补漏后应达到不再滴漏、符合相应规范要求。</w:t>
            </w:r>
          </w:p>
          <w:p w14:paraId="2E5F4A67">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（七）外檐装修小修内容：外檐抹灰及块料面层局部严重空鼓有脱落危险的，应排除险情；质量标准：排除险情后的外檐装修，应不存在危险隐患、符合相应规范要求。</w:t>
            </w:r>
          </w:p>
          <w:p w14:paraId="1E5724C9">
            <w:pPr>
              <w:pageBreakBefore w:val="0"/>
              <w:kinsoku/>
              <w:wordWrap/>
              <w:overflowPunct/>
              <w:topLinePunct w:val="0"/>
              <w:autoSpaceDE w:val="0"/>
              <w:autoSpaceDN w:val="0"/>
              <w:bidi w:val="0"/>
              <w:adjustRightInd w:val="0"/>
              <w:spacing w:line="360" w:lineRule="auto"/>
              <w:ind w:left="0" w:leftChars="0" w:right="0" w:firstLine="240" w:firstLineChars="1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八）阳台、雨罩等结构构件小修内容：阳台、雨罩、梁等结构构件保护层开裂的，应封堵裂缝，防止钢筋锈蚀：保护层剥落的，应补抹；质量标准：经维修后的结构构件应不再有裂缝及露筋现象、符合相应规范要求。</w:t>
            </w:r>
          </w:p>
          <w:p w14:paraId="57F1A08B">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二、上下水系统小修标准</w:t>
            </w:r>
          </w:p>
          <w:p w14:paraId="6C533CB5">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一)室内给水系统小修、局部换管小修内容：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14:paraId="0CA42EA9">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(二)卫生设备小修内容：卫生设备及配件残缺的应配齐，破损的应维修；质量标准：修缮后应做到给排水畅通，各部位零件齐全、灵活、有效，无跑、冒、漏、滴现象，能正常使用。</w:t>
            </w:r>
          </w:p>
          <w:p w14:paraId="106A36BA">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(三)、排水管道、化粪池，检查井等小修内容：楼房排污管道堵塞，排污不畅通的应疏通；化粪池、检查井满 溢或积存较多污物影响使用的应疏通或清掏，配件残缺应补齐。质量标准：楼房排污管道经疏通后，应达到排污管道畅通，不滴水；化粪池检查井满溢的清掏应清除全部污物，化粪池检查井局部损坏的应修好， 达到井体、池体、井圈、井盖、池盖完好。</w:t>
            </w:r>
          </w:p>
          <w:p w14:paraId="3F614AB1">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三、供电设施设备小修标准</w:t>
            </w:r>
          </w:p>
          <w:p w14:paraId="3AB3B4E7">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(一)、配电设施小修内容：(1)、配电柜(2)、配电箱(3)、配电盘 ；质量标准：元器件齐全，显示正常动作可靠，接地良好；时限要求：出现故障30分钟到达现场处理。</w:t>
            </w:r>
          </w:p>
          <w:p w14:paraId="6994EA06">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xml:space="preserve">(二)、室内设备小修内容：(1)、闸具(2)、电源插座(3)、开关(4)、灯头 ；质量标准：正常使用 ；时限要求：报修后30分钟到达现场处理。 </w:t>
            </w:r>
          </w:p>
          <w:p w14:paraId="31564FA4">
            <w:pPr>
              <w:pageBreakBefore w:val="0"/>
              <w:kinsoku/>
              <w:wordWrap/>
              <w:overflowPunct/>
              <w:topLinePunct w:val="0"/>
              <w:autoSpaceDE w:val="0"/>
              <w:autoSpaceDN w:val="0"/>
              <w:bidi w:val="0"/>
              <w:adjustRightInd w:val="0"/>
              <w:spacing w:line="360" w:lineRule="auto"/>
              <w:ind w:left="0" w:leftChars="0" w:right="0" w:firstLine="44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(三)、配电线路小修内容：(1)、导线(2)、支持物 ；质量标准：绝缘良好完整可靠；时限要求：出现故障30分钟到达现场处理 。</w:t>
            </w:r>
          </w:p>
        </w:tc>
      </w:tr>
      <w:tr w14:paraId="4C72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081F699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门窗家俱类</w:t>
            </w:r>
          </w:p>
        </w:tc>
        <w:tc>
          <w:tcPr>
            <w:tcW w:w="1798" w:type="dxa"/>
            <w:vAlign w:val="center"/>
          </w:tcPr>
          <w:p w14:paraId="691A8BC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门配件及加固</w:t>
            </w:r>
          </w:p>
        </w:tc>
        <w:tc>
          <w:tcPr>
            <w:tcW w:w="4129" w:type="dxa"/>
            <w:gridSpan w:val="2"/>
            <w:vAlign w:val="center"/>
          </w:tcPr>
          <w:p w14:paraId="15FF282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铰链、拉手、地簧等配件维修、门加固。</w:t>
            </w:r>
          </w:p>
        </w:tc>
        <w:tc>
          <w:tcPr>
            <w:tcW w:w="1769" w:type="dxa"/>
            <w:vAlign w:val="center"/>
          </w:tcPr>
          <w:p w14:paraId="59143C7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48D5148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714D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2B2B91C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c>
          <w:tcPr>
            <w:tcW w:w="1798" w:type="dxa"/>
            <w:vAlign w:val="center"/>
          </w:tcPr>
          <w:p w14:paraId="13578780">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门锁、钥匙</w:t>
            </w:r>
          </w:p>
        </w:tc>
        <w:tc>
          <w:tcPr>
            <w:tcW w:w="4129" w:type="dxa"/>
            <w:gridSpan w:val="2"/>
            <w:vAlign w:val="center"/>
          </w:tcPr>
          <w:p w14:paraId="2CB6EB3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维修、更换、配钥匙，确保能正常使用。</w:t>
            </w:r>
          </w:p>
        </w:tc>
        <w:tc>
          <w:tcPr>
            <w:tcW w:w="1769" w:type="dxa"/>
            <w:vAlign w:val="center"/>
          </w:tcPr>
          <w:p w14:paraId="01BFEDC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21C9DD0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21BD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08BC179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c>
          <w:tcPr>
            <w:tcW w:w="1798" w:type="dxa"/>
            <w:vAlign w:val="center"/>
          </w:tcPr>
          <w:p w14:paraId="5622BF4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急开锁</w:t>
            </w:r>
          </w:p>
        </w:tc>
        <w:tc>
          <w:tcPr>
            <w:tcW w:w="4129" w:type="dxa"/>
            <w:gridSpan w:val="2"/>
            <w:vAlign w:val="center"/>
          </w:tcPr>
          <w:p w14:paraId="5DC3FA6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紧急开锁，确保能正常使用。</w:t>
            </w:r>
          </w:p>
        </w:tc>
        <w:tc>
          <w:tcPr>
            <w:tcW w:w="1769" w:type="dxa"/>
            <w:vAlign w:val="center"/>
          </w:tcPr>
          <w:p w14:paraId="34D6439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2小时内完成</w:t>
            </w:r>
          </w:p>
        </w:tc>
        <w:tc>
          <w:tcPr>
            <w:tcW w:w="577" w:type="dxa"/>
            <w:vAlign w:val="center"/>
          </w:tcPr>
          <w:p w14:paraId="6641DF2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2486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28DCEB9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c>
          <w:tcPr>
            <w:tcW w:w="1798" w:type="dxa"/>
            <w:vAlign w:val="center"/>
          </w:tcPr>
          <w:p w14:paraId="13F985C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门配件及加固</w:t>
            </w:r>
          </w:p>
        </w:tc>
        <w:tc>
          <w:tcPr>
            <w:tcW w:w="4129" w:type="dxa"/>
            <w:gridSpan w:val="2"/>
            <w:vAlign w:val="center"/>
          </w:tcPr>
          <w:p w14:paraId="383FFB7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加固、配件完整，确保能正常使用。</w:t>
            </w:r>
          </w:p>
        </w:tc>
        <w:tc>
          <w:tcPr>
            <w:tcW w:w="1769" w:type="dxa"/>
            <w:vAlign w:val="center"/>
          </w:tcPr>
          <w:p w14:paraId="4FE9C6A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263095B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EF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3FB0454D">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15C8476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门窗玻璃</w:t>
            </w:r>
          </w:p>
        </w:tc>
        <w:tc>
          <w:tcPr>
            <w:tcW w:w="4129" w:type="dxa"/>
            <w:gridSpan w:val="2"/>
            <w:vAlign w:val="center"/>
          </w:tcPr>
          <w:p w14:paraId="35813FC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装配、加固，确保能正常使用。</w:t>
            </w:r>
          </w:p>
        </w:tc>
        <w:tc>
          <w:tcPr>
            <w:tcW w:w="1769" w:type="dxa"/>
            <w:vAlign w:val="center"/>
          </w:tcPr>
          <w:p w14:paraId="4E6649A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04F689E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7CA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4EEC102E">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49893A7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床</w:t>
            </w:r>
          </w:p>
        </w:tc>
        <w:tc>
          <w:tcPr>
            <w:tcW w:w="4129" w:type="dxa"/>
            <w:gridSpan w:val="2"/>
            <w:vAlign w:val="center"/>
          </w:tcPr>
          <w:p w14:paraId="4203758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固定，确保能正常使用。</w:t>
            </w:r>
          </w:p>
        </w:tc>
        <w:tc>
          <w:tcPr>
            <w:tcW w:w="1769" w:type="dxa"/>
            <w:vAlign w:val="center"/>
          </w:tcPr>
          <w:p w14:paraId="738447F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0271E08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376E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73B324A9">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5595B86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桌、椅、柜</w:t>
            </w:r>
          </w:p>
        </w:tc>
        <w:tc>
          <w:tcPr>
            <w:tcW w:w="4129" w:type="dxa"/>
            <w:gridSpan w:val="2"/>
            <w:vAlign w:val="center"/>
          </w:tcPr>
          <w:p w14:paraId="5D8DCEF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配件配齐、维修和加固，确保正常使用。</w:t>
            </w:r>
          </w:p>
        </w:tc>
        <w:tc>
          <w:tcPr>
            <w:tcW w:w="1769" w:type="dxa"/>
            <w:vAlign w:val="center"/>
          </w:tcPr>
          <w:p w14:paraId="23A783A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2BACC9F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2323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73113033">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6084E39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课桌椅</w:t>
            </w:r>
          </w:p>
        </w:tc>
        <w:tc>
          <w:tcPr>
            <w:tcW w:w="4129" w:type="dxa"/>
            <w:gridSpan w:val="2"/>
            <w:vAlign w:val="center"/>
          </w:tcPr>
          <w:p w14:paraId="158CF05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维修、更换，确保能正常使用。</w:t>
            </w:r>
          </w:p>
        </w:tc>
        <w:tc>
          <w:tcPr>
            <w:tcW w:w="1769" w:type="dxa"/>
            <w:vAlign w:val="center"/>
          </w:tcPr>
          <w:p w14:paraId="595C7B7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225CDD4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22B5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14DBC0FF">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16E860E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讲台</w:t>
            </w:r>
          </w:p>
        </w:tc>
        <w:tc>
          <w:tcPr>
            <w:tcW w:w="4129" w:type="dxa"/>
            <w:gridSpan w:val="2"/>
            <w:vAlign w:val="center"/>
          </w:tcPr>
          <w:p w14:paraId="56D4E52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维修、加固，确保能正常使用。</w:t>
            </w:r>
          </w:p>
        </w:tc>
        <w:tc>
          <w:tcPr>
            <w:tcW w:w="1769" w:type="dxa"/>
            <w:vAlign w:val="center"/>
          </w:tcPr>
          <w:p w14:paraId="6973F09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4922136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1603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7615DA30">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4B551A3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普通黑板</w:t>
            </w:r>
          </w:p>
        </w:tc>
        <w:tc>
          <w:tcPr>
            <w:tcW w:w="4129" w:type="dxa"/>
            <w:gridSpan w:val="2"/>
            <w:vAlign w:val="center"/>
          </w:tcPr>
          <w:p w14:paraId="5150130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维修、加固，确保能正常使用。</w:t>
            </w:r>
          </w:p>
        </w:tc>
        <w:tc>
          <w:tcPr>
            <w:tcW w:w="1769" w:type="dxa"/>
            <w:vAlign w:val="center"/>
          </w:tcPr>
          <w:p w14:paraId="73EB372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4C4C892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0E17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59D4D4A6">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16F5F4A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吊扇、壁扇</w:t>
            </w:r>
          </w:p>
        </w:tc>
        <w:tc>
          <w:tcPr>
            <w:tcW w:w="4129" w:type="dxa"/>
            <w:gridSpan w:val="2"/>
            <w:vAlign w:val="center"/>
          </w:tcPr>
          <w:p w14:paraId="568D1E0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维修、更换，确保能正常使用。</w:t>
            </w:r>
          </w:p>
        </w:tc>
        <w:tc>
          <w:tcPr>
            <w:tcW w:w="1769" w:type="dxa"/>
            <w:vAlign w:val="center"/>
          </w:tcPr>
          <w:p w14:paraId="39103DD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6小时内完成</w:t>
            </w:r>
          </w:p>
        </w:tc>
        <w:tc>
          <w:tcPr>
            <w:tcW w:w="577" w:type="dxa"/>
            <w:vAlign w:val="center"/>
          </w:tcPr>
          <w:p w14:paraId="3717175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7A77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289765D2">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4D1FA0E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窗帘维修</w:t>
            </w:r>
          </w:p>
        </w:tc>
        <w:tc>
          <w:tcPr>
            <w:tcW w:w="4129" w:type="dxa"/>
            <w:gridSpan w:val="2"/>
            <w:vAlign w:val="center"/>
          </w:tcPr>
          <w:p w14:paraId="434B4F5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维修、加固，确保能正常使用。</w:t>
            </w:r>
          </w:p>
        </w:tc>
        <w:tc>
          <w:tcPr>
            <w:tcW w:w="1769" w:type="dxa"/>
            <w:vAlign w:val="center"/>
          </w:tcPr>
          <w:p w14:paraId="7B8E8B9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02B7D8D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103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F727EDB">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7BA2620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晾衣绳维修</w:t>
            </w:r>
          </w:p>
        </w:tc>
        <w:tc>
          <w:tcPr>
            <w:tcW w:w="4129" w:type="dxa"/>
            <w:gridSpan w:val="2"/>
            <w:vAlign w:val="center"/>
          </w:tcPr>
          <w:p w14:paraId="7B7AC53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维修、加固、更换，确保能正常使用。</w:t>
            </w:r>
          </w:p>
        </w:tc>
        <w:tc>
          <w:tcPr>
            <w:tcW w:w="1769" w:type="dxa"/>
            <w:vAlign w:val="center"/>
          </w:tcPr>
          <w:p w14:paraId="5702F1F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3小时内完成</w:t>
            </w:r>
          </w:p>
        </w:tc>
        <w:tc>
          <w:tcPr>
            <w:tcW w:w="577" w:type="dxa"/>
            <w:vAlign w:val="center"/>
          </w:tcPr>
          <w:p w14:paraId="21E1B20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4C6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38CA0349">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上下水系统</w:t>
            </w:r>
          </w:p>
        </w:tc>
        <w:tc>
          <w:tcPr>
            <w:tcW w:w="1798" w:type="dxa"/>
            <w:vAlign w:val="center"/>
          </w:tcPr>
          <w:p w14:paraId="235C136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阀门</w:t>
            </w:r>
          </w:p>
        </w:tc>
        <w:tc>
          <w:tcPr>
            <w:tcW w:w="4129" w:type="dxa"/>
            <w:gridSpan w:val="2"/>
            <w:vAlign w:val="center"/>
          </w:tcPr>
          <w:p w14:paraId="2AC2B275">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维修、更换，确保能正常使用。</w:t>
            </w:r>
          </w:p>
        </w:tc>
        <w:tc>
          <w:tcPr>
            <w:tcW w:w="1769" w:type="dxa"/>
            <w:vAlign w:val="center"/>
          </w:tcPr>
          <w:p w14:paraId="1FB814F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3小时内完成</w:t>
            </w:r>
          </w:p>
        </w:tc>
        <w:tc>
          <w:tcPr>
            <w:tcW w:w="577" w:type="dxa"/>
            <w:vAlign w:val="center"/>
          </w:tcPr>
          <w:p w14:paraId="3706737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4916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AB37EFC">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2331FFF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给水管</w:t>
            </w:r>
          </w:p>
        </w:tc>
        <w:tc>
          <w:tcPr>
            <w:tcW w:w="4129" w:type="dxa"/>
            <w:gridSpan w:val="2"/>
            <w:vAlign w:val="center"/>
          </w:tcPr>
          <w:p w14:paraId="7CC66B8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零星维修</w:t>
            </w:r>
          </w:p>
        </w:tc>
        <w:tc>
          <w:tcPr>
            <w:tcW w:w="1769" w:type="dxa"/>
            <w:vAlign w:val="center"/>
          </w:tcPr>
          <w:p w14:paraId="0D365F0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3小时内完成</w:t>
            </w:r>
          </w:p>
        </w:tc>
        <w:tc>
          <w:tcPr>
            <w:tcW w:w="577" w:type="dxa"/>
            <w:vAlign w:val="center"/>
          </w:tcPr>
          <w:p w14:paraId="5B5DB86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3F1B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252CA236">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50A64FBC">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软管、下水管</w:t>
            </w:r>
          </w:p>
        </w:tc>
        <w:tc>
          <w:tcPr>
            <w:tcW w:w="4129" w:type="dxa"/>
            <w:gridSpan w:val="2"/>
            <w:vAlign w:val="center"/>
          </w:tcPr>
          <w:p w14:paraId="22DE20E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维修、更换，确保能正常使用。</w:t>
            </w:r>
          </w:p>
        </w:tc>
        <w:tc>
          <w:tcPr>
            <w:tcW w:w="1769" w:type="dxa"/>
            <w:vAlign w:val="center"/>
          </w:tcPr>
          <w:p w14:paraId="765B9D35">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1C0E198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0329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30AA5A7">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4B3C406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室内外落水管</w:t>
            </w:r>
          </w:p>
        </w:tc>
        <w:tc>
          <w:tcPr>
            <w:tcW w:w="4129" w:type="dxa"/>
            <w:gridSpan w:val="2"/>
            <w:vAlign w:val="center"/>
          </w:tcPr>
          <w:p w14:paraId="66879AB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维修、更换确保能正常使用。</w:t>
            </w:r>
          </w:p>
        </w:tc>
        <w:tc>
          <w:tcPr>
            <w:tcW w:w="1769" w:type="dxa"/>
            <w:vAlign w:val="center"/>
          </w:tcPr>
          <w:p w14:paraId="183E246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0228BA6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4B71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514A26F6">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6604622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低压水箱</w:t>
            </w:r>
          </w:p>
        </w:tc>
        <w:tc>
          <w:tcPr>
            <w:tcW w:w="4129" w:type="dxa"/>
            <w:gridSpan w:val="2"/>
            <w:vAlign w:val="center"/>
          </w:tcPr>
          <w:p w14:paraId="2AD80FD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维修、更换配件，确保正常使用。</w:t>
            </w:r>
          </w:p>
        </w:tc>
        <w:tc>
          <w:tcPr>
            <w:tcW w:w="1769" w:type="dxa"/>
            <w:vAlign w:val="center"/>
          </w:tcPr>
          <w:p w14:paraId="1D140C45">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72C6F69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F8F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49D3792A">
            <w:pPr>
              <w:pStyle w:val="156"/>
              <w:pageBreakBefore w:val="0"/>
              <w:kinsoku/>
              <w:wordWrap/>
              <w:overflowPunct/>
              <w:topLinePunct w:val="0"/>
              <w:bidi w:val="0"/>
              <w:spacing w:line="360" w:lineRule="auto"/>
              <w:ind w:left="0" w:leftChars="0" w:right="0" w:firstLine="0" w:firstLineChars="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供电设施设备</w:t>
            </w:r>
          </w:p>
        </w:tc>
        <w:tc>
          <w:tcPr>
            <w:tcW w:w="1798" w:type="dxa"/>
            <w:vAlign w:val="center"/>
          </w:tcPr>
          <w:p w14:paraId="3A7DA27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开关、插座</w:t>
            </w:r>
          </w:p>
        </w:tc>
        <w:tc>
          <w:tcPr>
            <w:tcW w:w="4129" w:type="dxa"/>
            <w:gridSpan w:val="2"/>
            <w:vAlign w:val="center"/>
          </w:tcPr>
          <w:p w14:paraId="580503B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维修、更换，确保能安全正常的使用。</w:t>
            </w:r>
          </w:p>
        </w:tc>
        <w:tc>
          <w:tcPr>
            <w:tcW w:w="1769" w:type="dxa"/>
            <w:vAlign w:val="center"/>
          </w:tcPr>
          <w:p w14:paraId="2048A7C0">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2小时内完成</w:t>
            </w:r>
          </w:p>
        </w:tc>
        <w:tc>
          <w:tcPr>
            <w:tcW w:w="577" w:type="dxa"/>
            <w:vAlign w:val="center"/>
          </w:tcPr>
          <w:p w14:paraId="5EC1980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37F7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2D8553A">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36DA2E4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灯具、灯座</w:t>
            </w:r>
          </w:p>
        </w:tc>
        <w:tc>
          <w:tcPr>
            <w:tcW w:w="4129" w:type="dxa"/>
            <w:gridSpan w:val="2"/>
            <w:vAlign w:val="center"/>
          </w:tcPr>
          <w:p w14:paraId="16E7DB8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维修、更换，确保能安全正常的使用。</w:t>
            </w:r>
          </w:p>
        </w:tc>
        <w:tc>
          <w:tcPr>
            <w:tcW w:w="1769" w:type="dxa"/>
            <w:vAlign w:val="center"/>
          </w:tcPr>
          <w:p w14:paraId="310E4A6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2小时内完成</w:t>
            </w:r>
          </w:p>
        </w:tc>
        <w:tc>
          <w:tcPr>
            <w:tcW w:w="577" w:type="dxa"/>
            <w:vAlign w:val="center"/>
          </w:tcPr>
          <w:p w14:paraId="37C0CCA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7BDF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5B3ABD81">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104AB8C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空开</w:t>
            </w:r>
          </w:p>
        </w:tc>
        <w:tc>
          <w:tcPr>
            <w:tcW w:w="4129" w:type="dxa"/>
            <w:gridSpan w:val="2"/>
            <w:vAlign w:val="center"/>
          </w:tcPr>
          <w:p w14:paraId="6A6A363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维修、更换，确保能安全正常的使用。</w:t>
            </w:r>
          </w:p>
        </w:tc>
        <w:tc>
          <w:tcPr>
            <w:tcW w:w="1769" w:type="dxa"/>
            <w:vAlign w:val="center"/>
          </w:tcPr>
          <w:p w14:paraId="1F4ACBE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2小时内完成</w:t>
            </w:r>
          </w:p>
        </w:tc>
        <w:tc>
          <w:tcPr>
            <w:tcW w:w="577" w:type="dxa"/>
          </w:tcPr>
          <w:p w14:paraId="04F8B13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0744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910B1DB">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53CAF2A1">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线路</w:t>
            </w:r>
          </w:p>
        </w:tc>
        <w:tc>
          <w:tcPr>
            <w:tcW w:w="4129" w:type="dxa"/>
            <w:gridSpan w:val="2"/>
            <w:vAlign w:val="center"/>
          </w:tcPr>
          <w:p w14:paraId="0876FA0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零星维修</w:t>
            </w:r>
          </w:p>
        </w:tc>
        <w:tc>
          <w:tcPr>
            <w:tcW w:w="1769" w:type="dxa"/>
            <w:vAlign w:val="center"/>
          </w:tcPr>
          <w:p w14:paraId="3DB8F60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2小时内完成</w:t>
            </w:r>
          </w:p>
        </w:tc>
        <w:tc>
          <w:tcPr>
            <w:tcW w:w="577" w:type="dxa"/>
            <w:vAlign w:val="center"/>
          </w:tcPr>
          <w:p w14:paraId="3FBCAAF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6B8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08483AD4">
            <w:pPr>
              <w:pStyle w:val="156"/>
              <w:pageBreakBefore w:val="0"/>
              <w:kinsoku/>
              <w:wordWrap/>
              <w:overflowPunct/>
              <w:topLinePunct w:val="0"/>
              <w:bidi w:val="0"/>
              <w:spacing w:line="360" w:lineRule="auto"/>
              <w:ind w:left="0" w:leftChars="0" w:right="0" w:firstLine="0" w:firstLineChars="0"/>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校园设施设备</w:t>
            </w:r>
          </w:p>
        </w:tc>
        <w:tc>
          <w:tcPr>
            <w:tcW w:w="1798" w:type="dxa"/>
            <w:vAlign w:val="center"/>
          </w:tcPr>
          <w:p w14:paraId="6FC4393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盖板</w:t>
            </w:r>
          </w:p>
        </w:tc>
        <w:tc>
          <w:tcPr>
            <w:tcW w:w="4129" w:type="dxa"/>
            <w:gridSpan w:val="2"/>
            <w:vAlign w:val="center"/>
          </w:tcPr>
          <w:p w14:paraId="1607AB9E">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更换、周边零星修补，确保安全正常使用。</w:t>
            </w:r>
          </w:p>
        </w:tc>
        <w:tc>
          <w:tcPr>
            <w:tcW w:w="1769" w:type="dxa"/>
            <w:vAlign w:val="center"/>
          </w:tcPr>
          <w:p w14:paraId="386E5E4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rPr>
              <w:t>现浇盖板15天、成品盖板24小时</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临时措施2小时内</w:t>
            </w:r>
          </w:p>
        </w:tc>
        <w:tc>
          <w:tcPr>
            <w:tcW w:w="577" w:type="dxa"/>
            <w:vAlign w:val="center"/>
          </w:tcPr>
          <w:p w14:paraId="6C47FD9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3EC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677CD9A2">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7DBCB4B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下水道</w:t>
            </w:r>
          </w:p>
        </w:tc>
        <w:tc>
          <w:tcPr>
            <w:tcW w:w="4129" w:type="dxa"/>
            <w:gridSpan w:val="2"/>
            <w:vAlign w:val="center"/>
          </w:tcPr>
          <w:p w14:paraId="6176783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疏通、清掏，确保排水畅通。</w:t>
            </w:r>
          </w:p>
        </w:tc>
        <w:tc>
          <w:tcPr>
            <w:tcW w:w="1769" w:type="dxa"/>
            <w:vAlign w:val="center"/>
          </w:tcPr>
          <w:p w14:paraId="324522A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24小时内完成</w:t>
            </w:r>
          </w:p>
        </w:tc>
        <w:tc>
          <w:tcPr>
            <w:tcW w:w="577" w:type="dxa"/>
            <w:vAlign w:val="center"/>
          </w:tcPr>
          <w:p w14:paraId="3981C3E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73C4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39C95690">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1D107F64">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窨井</w:t>
            </w:r>
          </w:p>
        </w:tc>
        <w:tc>
          <w:tcPr>
            <w:tcW w:w="4129" w:type="dxa"/>
            <w:gridSpan w:val="2"/>
            <w:vAlign w:val="center"/>
          </w:tcPr>
          <w:p w14:paraId="0674AB4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疏通、清掏，确保排水畅通。</w:t>
            </w:r>
          </w:p>
        </w:tc>
        <w:tc>
          <w:tcPr>
            <w:tcW w:w="1769" w:type="dxa"/>
            <w:vAlign w:val="center"/>
          </w:tcPr>
          <w:p w14:paraId="68D87BE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24小时内完成</w:t>
            </w:r>
          </w:p>
        </w:tc>
        <w:tc>
          <w:tcPr>
            <w:tcW w:w="577" w:type="dxa"/>
            <w:vAlign w:val="center"/>
          </w:tcPr>
          <w:p w14:paraId="086216CD">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6DC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759C343C">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3E8BB78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化粪池</w:t>
            </w:r>
          </w:p>
        </w:tc>
        <w:tc>
          <w:tcPr>
            <w:tcW w:w="4129" w:type="dxa"/>
            <w:gridSpan w:val="2"/>
            <w:vAlign w:val="center"/>
          </w:tcPr>
          <w:p w14:paraId="550CE1E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疏通、清掏，确保排水畅通。</w:t>
            </w:r>
          </w:p>
        </w:tc>
        <w:tc>
          <w:tcPr>
            <w:tcW w:w="1769" w:type="dxa"/>
            <w:vAlign w:val="center"/>
          </w:tcPr>
          <w:p w14:paraId="68B2171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48小时内完成</w:t>
            </w:r>
          </w:p>
        </w:tc>
        <w:tc>
          <w:tcPr>
            <w:tcW w:w="577" w:type="dxa"/>
            <w:vAlign w:val="center"/>
          </w:tcPr>
          <w:p w14:paraId="76174BA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6336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0338DE8C">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0E6631A6">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楼栋内地面、墙体、公共座椅</w:t>
            </w:r>
          </w:p>
        </w:tc>
        <w:tc>
          <w:tcPr>
            <w:tcW w:w="4129" w:type="dxa"/>
            <w:gridSpan w:val="2"/>
            <w:vAlign w:val="center"/>
          </w:tcPr>
          <w:p w14:paraId="1912197F">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地砖更换、墙体刷白，座椅维修</w:t>
            </w:r>
          </w:p>
        </w:tc>
        <w:tc>
          <w:tcPr>
            <w:tcW w:w="1769" w:type="dxa"/>
            <w:vAlign w:val="center"/>
          </w:tcPr>
          <w:p w14:paraId="2F3F81B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24小时内完成</w:t>
            </w:r>
          </w:p>
        </w:tc>
        <w:tc>
          <w:tcPr>
            <w:tcW w:w="577" w:type="dxa"/>
            <w:vAlign w:val="center"/>
          </w:tcPr>
          <w:p w14:paraId="31D2D53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575D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5ADF1762">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7AA66120">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喷泉</w:t>
            </w:r>
          </w:p>
        </w:tc>
        <w:tc>
          <w:tcPr>
            <w:tcW w:w="4129" w:type="dxa"/>
            <w:gridSpan w:val="2"/>
            <w:vAlign w:val="center"/>
          </w:tcPr>
          <w:p w14:paraId="5698B1A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零星维修</w:t>
            </w:r>
          </w:p>
        </w:tc>
        <w:tc>
          <w:tcPr>
            <w:tcW w:w="1769" w:type="dxa"/>
            <w:vAlign w:val="center"/>
          </w:tcPr>
          <w:p w14:paraId="2D3C20C2">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12小时内完成</w:t>
            </w:r>
          </w:p>
        </w:tc>
        <w:tc>
          <w:tcPr>
            <w:tcW w:w="577" w:type="dxa"/>
            <w:vAlign w:val="center"/>
          </w:tcPr>
          <w:p w14:paraId="324E500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04E1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28DA9982">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662D54F8">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校园路灯</w:t>
            </w:r>
          </w:p>
        </w:tc>
        <w:tc>
          <w:tcPr>
            <w:tcW w:w="4129" w:type="dxa"/>
            <w:gridSpan w:val="2"/>
            <w:vAlign w:val="center"/>
          </w:tcPr>
          <w:p w14:paraId="7D477C9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零星维修</w:t>
            </w:r>
          </w:p>
        </w:tc>
        <w:tc>
          <w:tcPr>
            <w:tcW w:w="1769" w:type="dxa"/>
            <w:vAlign w:val="center"/>
          </w:tcPr>
          <w:p w14:paraId="0040B07A">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24小时内完成</w:t>
            </w:r>
          </w:p>
        </w:tc>
        <w:tc>
          <w:tcPr>
            <w:tcW w:w="577" w:type="dxa"/>
            <w:vAlign w:val="center"/>
          </w:tcPr>
          <w:p w14:paraId="142E9DA3">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r w14:paraId="285B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Pr>
          <w:p w14:paraId="22134104">
            <w:pPr>
              <w:pStyle w:val="156"/>
              <w:pageBreakBefore w:val="0"/>
              <w:kinsoku/>
              <w:wordWrap/>
              <w:overflowPunct/>
              <w:topLinePunct w:val="0"/>
              <w:bidi w:val="0"/>
              <w:spacing w:line="360" w:lineRule="auto"/>
              <w:ind w:left="0" w:leftChars="0" w:right="0" w:firstLine="0" w:firstLineChars="0"/>
              <w:jc w:val="center"/>
              <w:rPr>
                <w:rFonts w:hint="eastAsia" w:ascii="仿宋" w:hAnsi="仿宋" w:eastAsia="仿宋" w:cs="仿宋"/>
                <w:b w:val="0"/>
                <w:bCs w:val="0"/>
                <w:color w:val="auto"/>
                <w:sz w:val="24"/>
                <w:szCs w:val="24"/>
                <w:lang w:val="zh-CN"/>
              </w:rPr>
            </w:pPr>
          </w:p>
        </w:tc>
        <w:tc>
          <w:tcPr>
            <w:tcW w:w="1798" w:type="dxa"/>
            <w:vAlign w:val="center"/>
          </w:tcPr>
          <w:p w14:paraId="5B389DD5">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架空层抽水泵</w:t>
            </w:r>
          </w:p>
        </w:tc>
        <w:tc>
          <w:tcPr>
            <w:tcW w:w="4129" w:type="dxa"/>
            <w:gridSpan w:val="2"/>
            <w:vAlign w:val="center"/>
          </w:tcPr>
          <w:p w14:paraId="274D5DAB">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零星维修</w:t>
            </w:r>
          </w:p>
        </w:tc>
        <w:tc>
          <w:tcPr>
            <w:tcW w:w="1769" w:type="dxa"/>
            <w:vAlign w:val="center"/>
          </w:tcPr>
          <w:p w14:paraId="3D134329">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24小时内完成</w:t>
            </w:r>
          </w:p>
        </w:tc>
        <w:tc>
          <w:tcPr>
            <w:tcW w:w="577" w:type="dxa"/>
            <w:vAlign w:val="center"/>
          </w:tcPr>
          <w:p w14:paraId="28D66C07">
            <w:pPr>
              <w:pageBreakBefore w:val="0"/>
              <w:kinsoku/>
              <w:wordWrap/>
              <w:overflowPunct/>
              <w:topLinePunct w:val="0"/>
              <w:bidi w:val="0"/>
              <w:spacing w:line="360" w:lineRule="auto"/>
              <w:ind w:left="0" w:leftChars="0" w:right="0"/>
              <w:textAlignment w:val="center"/>
              <w:rPr>
                <w:rFonts w:hint="eastAsia" w:ascii="仿宋" w:hAnsi="仿宋" w:eastAsia="仿宋" w:cs="仿宋"/>
                <w:b w:val="0"/>
                <w:bCs w:val="0"/>
                <w:color w:val="auto"/>
                <w:sz w:val="24"/>
                <w:szCs w:val="24"/>
                <w:lang w:val="zh-CN"/>
              </w:rPr>
            </w:pPr>
          </w:p>
        </w:tc>
      </w:tr>
    </w:tbl>
    <w:p w14:paraId="5E84A40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以上维修项目接到报修后1小时内响应。</w:t>
      </w:r>
    </w:p>
    <w:p w14:paraId="1ADB0F8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所有站房设备、设施的维修、运行、维护、管理、保养及控制要有详细规范、标准化的操作规程，要有完善的档案管理机制，要有完善的应急处理预案，要严格按照规范和规程操作处理。站房管理人员的配备要符合政府对该行业的管理规定，需要持证上岗的，上岗人员</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有相应的资格证书。涉及站房内水箱清洗、油品更换、热力板换清洗、高压校试验、重要配件更换等内容，供应商需提前向采购人管理部门递交书面工作方案，经采购人管理部门同意后方可实施。项目施工完后由采购人管理部门组织人员进行验收，验收合格方可确定为供应商履行了服务。</w:t>
      </w:r>
    </w:p>
    <w:p w14:paraId="4559C3F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3.对维修范围内的设施设备按照《物业维修的标准和质量》表格中规定的时间完成维修；对不属维修范围内的设施2小时内报告采购人管理部门，并协助采购人做好维修。</w:t>
      </w:r>
    </w:p>
    <w:p w14:paraId="2173B06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（1）维修效率</w:t>
      </w:r>
    </w:p>
    <w:p w14:paraId="0AB93AB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a.定期进行维修巡查情况，发现故障及时处理或报告，有巡查记录本；</w:t>
      </w:r>
    </w:p>
    <w:p w14:paraId="68BB2D3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b.保证维修的及时性，特殊情况的维修时间完成不超出48小时；属于采购人负责的复杂维修，应于24小时内书面报告采购人管理部门（特殊情况电话通知）。没有按规定的时间完成的，每次从承包款中扣除200元。</w:t>
      </w:r>
    </w:p>
    <w:p w14:paraId="5938158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（2）维修质量</w:t>
      </w:r>
    </w:p>
    <w:p w14:paraId="4930B81D">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a.保证维修质量，维修材料安全可靠、品牌正宗，维修工艺和外观美观整洁；</w:t>
      </w:r>
    </w:p>
    <w:p w14:paraId="21EC8C9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b.维修返修率每月低于5%，有记录并每月汇总报送采购人管理部门。</w:t>
      </w:r>
    </w:p>
    <w:p w14:paraId="5D7A133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（3）服务态度</w:t>
      </w:r>
    </w:p>
    <w:p w14:paraId="782A9BE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a.注重维修服务态度，合理安排维修时间，与师生交流时态度热情诚恳，维修作业不影响师生的学习、教学和生活，每月投诉率低于5%，有记录并每月汇总报送采购人管理部门。</w:t>
      </w:r>
    </w:p>
    <w:p w14:paraId="78410CD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b.有维修安排、维修回访、投诉处理记录。</w:t>
      </w:r>
    </w:p>
    <w:p w14:paraId="41A800A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4.热力交换站站房管理及热交换片保养服务要求</w:t>
      </w:r>
    </w:p>
    <w:p w14:paraId="441CCA59">
      <w:pPr>
        <w:pageBreakBefore w:val="0"/>
        <w:tabs>
          <w:tab w:val="left" w:pos="424"/>
        </w:tabs>
        <w:kinsoku/>
        <w:wordWrap/>
        <w:overflowPunct/>
        <w:topLinePunct w:val="0"/>
        <w:bidi w:val="0"/>
        <w:spacing w:line="360" w:lineRule="auto"/>
        <w:ind w:left="0" w:leftChars="0" w:right="0" w:firstLine="4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（1）热力交换站房的日常管理工作要求</w:t>
      </w:r>
    </w:p>
    <w:p w14:paraId="63ABB625">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a.热力站内管理制度完善，管理记录完整，相关制度上墙，设备操作规程上墙。</w:t>
      </w:r>
    </w:p>
    <w:p w14:paraId="00DC2009">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b.热力站门应保持锁闭状态，无关人员不得随意进入热力站，必要时</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经采购人管理部门同意。</w:t>
      </w:r>
    </w:p>
    <w:p w14:paraId="1582C182">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c.热力站的全部设备</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由供应商安排的具有相关技术资质的值班人员管理操作，非值班人员禁止操作。</w:t>
      </w:r>
    </w:p>
    <w:p w14:paraId="02440FD8">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d.热力站禁止存放杂物和易燃、易爆物品，严禁吸烟、严禁明火。</w:t>
      </w:r>
    </w:p>
    <w:p w14:paraId="4BEFAACC">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e.热力站要保持良好的清洁卫生、照明及通风，无渗漏情况。</w:t>
      </w:r>
    </w:p>
    <w:p w14:paraId="55C22069">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f.认真记录设备运行中的各项参数，及时调整设备的运行状态，发现异常应及时处理并上报。</w:t>
      </w:r>
    </w:p>
    <w:p w14:paraId="2D392FF1">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g.定期保养检查，及时更换磨损的零件，并作好记录。</w:t>
      </w:r>
    </w:p>
    <w:p w14:paraId="786151E5">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h.保持热力站消防设施的完好、有效，保证应急灯在停电状态下能正常使用。</w:t>
      </w:r>
    </w:p>
    <w:p w14:paraId="7FA1BDB4">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i.热力站每周清扫一次。</w:t>
      </w:r>
    </w:p>
    <w:p w14:paraId="6C1FA2E8">
      <w:pPr>
        <w:pageBreakBefore w:val="0"/>
        <w:tabs>
          <w:tab w:val="left" w:pos="424"/>
        </w:tabs>
        <w:kinsoku/>
        <w:wordWrap/>
        <w:overflowPunct/>
        <w:topLinePunct w:val="0"/>
        <w:bidi w:val="0"/>
        <w:spacing w:line="360" w:lineRule="auto"/>
        <w:ind w:left="0" w:leftChars="0" w:right="0" w:firstLine="4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（2）热力交换站内设施设备维护要求</w:t>
      </w:r>
    </w:p>
    <w:p w14:paraId="12EC5357">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按照设备运行特点和热力公司要求，每年供暖结束后需要对热力站房板式换热器和设备进行清洗保养，以达到设备正常运行要求。</w:t>
      </w:r>
    </w:p>
    <w:p w14:paraId="2D5AD497">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热力板换清洗等保养方案需书面报送采购人管理部门同意后方可实施，在整个施工过程中，采购人管理部门安排专人负责监督检查，严格按照施工方案进行，确保施工质量。</w:t>
      </w:r>
    </w:p>
    <w:p w14:paraId="589445CD">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对设备的清洗和保养过程中，只有在一个站房施工结束后，经打压试验合格并经现场监督人员确认后，方可进行下一个站房的施工。</w:t>
      </w:r>
    </w:p>
    <w:p w14:paraId="3D69AC73">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施工结束后由采购人管理部门组织人员进行验收，并填写验收报告，采购人管理部门和供应商双方签章备案。</w:t>
      </w:r>
    </w:p>
    <w:p w14:paraId="6BA30324">
      <w:pPr>
        <w:keepNext w:val="0"/>
        <w:keepLines w:val="0"/>
        <w:pageBreakBefore w:val="0"/>
        <w:widowControl/>
        <w:tabs>
          <w:tab w:val="left" w:pos="424"/>
        </w:tabs>
        <w:kinsoku/>
        <w:wordWrap/>
        <w:overflowPunct/>
        <w:topLinePunct w:val="0"/>
        <w:autoSpaceDE/>
        <w:autoSpaceDN/>
        <w:bidi w:val="0"/>
        <w:adjustRightInd/>
        <w:snapToGrid/>
        <w:spacing w:line="360" w:lineRule="auto"/>
        <w:ind w:left="0" w:leftChars="0" w:right="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在清洗过程中使用的各种材料如果不符合规定或质量不合格，由供应商负责更换，并承担发生的一切费用。</w:t>
      </w:r>
    </w:p>
    <w:p w14:paraId="43DECE6C">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5.地源热泵空调系统站房、机组系统设施设备、管网及末端系统设施设备维修维护保养</w:t>
      </w:r>
    </w:p>
    <w:p w14:paraId="432EB0B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（1）服务要求</w:t>
      </w:r>
    </w:p>
    <w:p w14:paraId="2444C1C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空调机组保养服务除了按空调机组原厂保养标准操作以外，还要遵守以下约定：严格按照《中华人民共和国化工行业标准》、《工业设备化学清洗质量验收标准》施工。严格按照国家规定的清洗程序、规范、工艺、步骤要求等制定详细的清洗施工计划，所有需要清洗的零部件</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拆掉拿到地面清洗，清洗完后再装上保证达到新产品的效果。供应商所做的清洗施工方案</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经采购人管理部门同意后方可施工。清洗液</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使用安全、无腐蚀性的清新剂来清洗水垢和水锈及设备。清洗应高于或等于《中华人民共和国化工行业标准》HG/T2387-92工业化学设备清洗质量标准，除垢率90%，洗净率85%。清洗完毕在质保期内非人为操作导致设备损坏影响使用效果的情况下由供应商负责维修。在清洗和保养设备过程中出现操作失误而导致设备损坏应由供应商负责更换。因供应商原因,清洗后不能达到采购人管理部门质量要求时,采购人管理部门有权要求供应商对未达标设备进行再次清洗。保养施工完毕后，应及时将施工现场清理干净垃圾运到校外、不得影响教学。保养施工期间采购人免费向供应商提供水电。保养施工期间采购人管理部门安排人员负责监督检查，供应商</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服从采购人监督人员的管理。</w:t>
      </w:r>
    </w:p>
    <w:p w14:paraId="7766671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（2）风机盘管清洗流程</w:t>
      </w:r>
    </w:p>
    <w:p w14:paraId="3D4119E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拆卸回风口挡板及隔尘滤网，用高压水枪冲洗滤网，使滤网不沾泥污灰尘。正确拆卸风机前面的风机辊筒及其叶轮。检查风机马达、电容器等是否烧坏，如正常，用毛刷清洗叶轮、辊筒外壳、对电机转轴加油。采用对铝翅片无腐蚀，但能清除灰尘、污垢的SDP-01翅片水，用高压清洗机将翅片水喷于铝翅片上，让其作用5分钟，然后用清洗机冲洗翅片。铝翅片清洗干净后（可见翅片内2-3排小铜管）正确安装风机盘管前面的风机马达及叶轮，使之完全复原。将洗净的隔尘网及挡板装回原位。拆卸风机盘管小Y型过滤器清洗。对接水盘、过滤器进行除去污泥、杂物，清洗干净，保持水流畅通</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检查水管连接牢固、检查阀门是否漏水、检查保温是否良好。</w:t>
      </w:r>
    </w:p>
    <w:p w14:paraId="37EAF14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（3）安全施工要求</w:t>
      </w:r>
    </w:p>
    <w:p w14:paraId="52E16BE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安全施工、杜绝发生事故，</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确认各种机械、设备处于良好安全的工作状态后方可开始操作，施工人员按规定穿戴好工作服和个人防护用品。文明施工，做好施工人员作业时间的合理安排，以减少施工时机具噪声污染。防止发生人身及设备事故，供应商应遵守工程建设安全生产有关管理规定，严格按照安全标准组织施工，并随时接受行业安全检查人员依法实施的监督检查，采取必要的安全防护措施，消除事故隐患，由于施工造成所有事故的责任和因此发生的费用由供应商承担，与采购人无任何关联。</w:t>
      </w:r>
    </w:p>
    <w:p w14:paraId="7857A26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（4）整体质量要求</w:t>
      </w:r>
    </w:p>
    <w:p w14:paraId="4B10497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施工完后由采购人管理部门组织人员进行验收，验收合格方可确定为供应商履行了服务。站房内设备出现故障时，采购人管理部门通知供应商后，供应商</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在2小时内到达现场8小时内处理完毕。如发现设备故障问题在采购人管理部门通知供应商后，供应商没有在规定的时间到达现场和处理，采购人管理部门有权安排其它维修人员处理、处理所产生的费用从供应商物业费中支出。</w:t>
      </w:r>
    </w:p>
    <w:p w14:paraId="0BDFC05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6.二次加压水箱清洗服务</w:t>
      </w:r>
    </w:p>
    <w:p w14:paraId="4BEB2C8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按照政府关于城市居民生活用水的相关规定，对校区内的二次加压水箱每年进行2次清洗、消毒服务，服务内容：清洗消毒后，取样送检，保证水质达到生活饮用水标准，出具河南省疾病预防控制中心的水质检验报告或具有水质检测资质的第三方检测机构的水质检测报告。</w:t>
      </w:r>
    </w:p>
    <w:p w14:paraId="24FB67F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（2）清洗消毒工艺及要求</w:t>
      </w:r>
    </w:p>
    <w:p w14:paraId="5766786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供应商所做的清洗施工方案</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经采购人管理部门同意后方可施工。</w:t>
      </w:r>
    </w:p>
    <w:p w14:paraId="2E37F3D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保证供水清洁卫生，符合郑州市二次供水卫生检验标准。</w:t>
      </w:r>
    </w:p>
    <w:p w14:paraId="3CAF5E2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清洗后，由清洗单位取水样送具有水质检测资质的第三方检测机构进行检测，使水质达到国家卫生饮用水的标准。</w:t>
      </w:r>
    </w:p>
    <w:p w14:paraId="1C51CCA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清洗工作由取得合格证的专业人员执行，清洗人员要有健康合格证。</w:t>
      </w:r>
    </w:p>
    <w:p w14:paraId="291D8F1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清洗人员应准备好所需的机电工具、清洗工具、消毒工具及消毒药物。</w:t>
      </w:r>
    </w:p>
    <w:p w14:paraId="655E2BB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根据清洗时间安排，报主管单位审批停水时间。清洗前一周应出通告通知师生停水时间，以便师生做好贮水准备。</w:t>
      </w:r>
    </w:p>
    <w:p w14:paraId="03D3529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关闭进水总阀，关闭水箱之间的连通阀门，开启泄水阀，排空水池、水箱中的水让泄水阀门处于开启位置，用鼓风机对着水池、水箱口吹风2小时以上，以便空气流通，排除水池、水箱中的有毒气体，吹进新鲜空气。</w:t>
      </w:r>
    </w:p>
    <w:p w14:paraId="3351DCC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清洗负责人招集清洗人员及检修人员讲解清洗程序、安全措施、技术要求以及安全注意事项。</w:t>
      </w:r>
    </w:p>
    <w:p w14:paraId="522E71A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把燃着的蜡烛放入池底，如不熄灭说明水池内不缺氧。</w:t>
      </w:r>
    </w:p>
    <w:p w14:paraId="1D102AA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安装36V行灯供水池、水箱内照明用。</w:t>
      </w:r>
    </w:p>
    <w:p w14:paraId="6D7FC30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清洗人员刷洗六面体水池（箱）横、竖各三遍，检查人员对水池（箱）的管道及浮球、水位控制器进行检查。</w:t>
      </w:r>
    </w:p>
    <w:p w14:paraId="7DA9098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清洗完毕后排尽水池（箱）中的污水，再向水池（箱）内洒漂白精消毒。</w:t>
      </w:r>
    </w:p>
    <w:p w14:paraId="7829F76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半小时后，再次进入水池（箱）内冲洗，最后消毒三次后，清除池底污泥，用潜水泵抽出池中的积水。</w:t>
      </w:r>
    </w:p>
    <w:p w14:paraId="53AEF0F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在清洗水池的同时，另派人检查、清理紧固阀门，清洗过滤网。</w:t>
      </w:r>
    </w:p>
    <w:p w14:paraId="16FFAFC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检查各种设施正常后，注水入池，取水样具有水质检测资质的第三方检测机构进行检测。</w:t>
      </w:r>
    </w:p>
    <w:p w14:paraId="567353B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施工结束后</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加盖、加锁。</w:t>
      </w:r>
    </w:p>
    <w:p w14:paraId="11756ED9">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在清洗和保养设备过程中出现操作失误而导致设备损坏由供应商负责更换。</w:t>
      </w:r>
    </w:p>
    <w:p w14:paraId="7A08E84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因供应商原因，清洗、消毒后不能达到质量要求时,采购人管理部门有权要求供应商对未达标设备进行再次清洗，费用由供应商承担，同时按照考核约定扣除相应分数和费用。</w:t>
      </w:r>
    </w:p>
    <w:p w14:paraId="26CB7D2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施工完毕后，应及时将施工现场清理干净垃圾运到校外、不得影响教学。</w:t>
      </w:r>
    </w:p>
    <w:p w14:paraId="271EC41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施工期间采购人管理部门安排人员负责监督检查，供应商</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服从采购人监督人员的管理，每清洗保养完一个水箱后</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经采购人检查人员检查验收合格后方可进行下一个水箱的清洗保养。</w:t>
      </w:r>
    </w:p>
    <w:p w14:paraId="789D659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（3）水箱清洗质量标准</w:t>
      </w:r>
    </w:p>
    <w:p w14:paraId="08F8038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非水箱自身的缺陷问题，清洗后应达到表面无污垢、底部无泥沙。</w:t>
      </w:r>
    </w:p>
    <w:p w14:paraId="223EAEC5">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非水源水质问题，清洗后水质达到郑州市规定的生活饮用水标准。</w:t>
      </w:r>
    </w:p>
    <w:p w14:paraId="07C7B8B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水箱清洗完毕后由双方对水箱清洗效果进行现场验收，并填写验收单，供应商取已经清洗好的水箱的水样到河南省疾病预防控制中心或具有水质检测资质的第三方检测机构去做水质检验并出具水质检验报告。</w:t>
      </w:r>
    </w:p>
    <w:p w14:paraId="00C3F17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（4）安全施工要求</w:t>
      </w:r>
    </w:p>
    <w:p w14:paraId="4732DBF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使用安全电压用电，导线绝缘良好，并安装漏电开关。</w:t>
      </w:r>
    </w:p>
    <w:p w14:paraId="7E2616C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上、下水池应穿防滑鞋，传送工具等物品应用绳子。</w:t>
      </w:r>
    </w:p>
    <w:p w14:paraId="39F222B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未经试验水池中有无氧气前，不得进入水池。</w:t>
      </w:r>
    </w:p>
    <w:p w14:paraId="708D871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消毒人员</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戴防护眼镜和口罩。</w:t>
      </w:r>
    </w:p>
    <w:p w14:paraId="4E1C0C9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 w:val="0"/>
          <w:bCs/>
          <w:color w:val="auto"/>
          <w:sz w:val="28"/>
          <w:szCs w:val="28"/>
        </w:rPr>
      </w:pPr>
      <w:r>
        <w:rPr>
          <w:rFonts w:hint="eastAsia" w:ascii="仿宋" w:hAnsi="仿宋" w:eastAsia="仿宋" w:cs="仿宋"/>
          <w:bCs/>
          <w:color w:val="auto"/>
          <w:sz w:val="28"/>
          <w:szCs w:val="28"/>
        </w:rPr>
        <w:t>防止发生人身及设备事故，供应商应遵守工程建设安全生产有关管理规定，严格按照安全标准组织施工，并随时接受行业安全检查人员依法实施的监督检查，采取必要的安全防护措施，消除事故隐患，由于供应商安全措施不力造成事故的责任和因此发生的费用由供应商全部</w:t>
      </w:r>
      <w:r>
        <w:rPr>
          <w:rFonts w:hint="eastAsia" w:ascii="仿宋" w:hAnsi="仿宋" w:eastAsia="仿宋" w:cs="仿宋"/>
          <w:b w:val="0"/>
          <w:bCs/>
          <w:color w:val="auto"/>
          <w:sz w:val="28"/>
          <w:szCs w:val="28"/>
        </w:rPr>
        <w:t>承担。</w:t>
      </w:r>
    </w:p>
    <w:p w14:paraId="48FFDE6A">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7.高、低压电气设备进行校、试验及维护保养</w:t>
      </w:r>
    </w:p>
    <w:p w14:paraId="068A532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（1）对中心配及区域配的电气设备、避雷设施进行校验。</w:t>
      </w:r>
    </w:p>
    <w:p w14:paraId="03ED326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（2）对中心配及区域配的电力变压器、电流互感器、电压互感器、高压断路器、电力电缆等电气设备进行校、试验，对继电保护装置进行校验。</w:t>
      </w:r>
    </w:p>
    <w:p w14:paraId="4376681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（3）对中心配直流系统进行检测。蓄电池进行充放电试验，检查电池电压是否过低和检查蓄电池容量是否符合要求。</w:t>
      </w:r>
    </w:p>
    <w:p w14:paraId="33909BA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（4）对变压器、高压开关柜、直流系统、配电室进行检测、维护和保养。</w:t>
      </w:r>
    </w:p>
    <w:p w14:paraId="6BF27CA3">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（5）对低压开关柜进行除尘、维护保养。</w:t>
      </w:r>
    </w:p>
    <w:p w14:paraId="5B614656">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（6）满足国家规范要求；出具国家电力监管部门认可的试验报告。</w:t>
      </w:r>
    </w:p>
    <w:p w14:paraId="51ABE397">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（7）出具预防性试验情况汇总表，将试验中发现的问题全部列出并报采购人管理部门，经采购人管理部门同意，对检查出的问题全部进行维修维护。</w:t>
      </w:r>
    </w:p>
    <w:p w14:paraId="60F3AFFE">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（8）确保按时通电，试验当天</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完成相关工作且恢复供电。</w:t>
      </w:r>
    </w:p>
    <w:p w14:paraId="4DFFD866">
      <w:pPr>
        <w:pageBreakBefore w:val="0"/>
        <w:tabs>
          <w:tab w:val="left" w:pos="424"/>
        </w:tabs>
        <w:kinsoku/>
        <w:wordWrap/>
        <w:overflowPunct/>
        <w:topLinePunct w:val="0"/>
        <w:bidi w:val="0"/>
        <w:spacing w:line="360" w:lineRule="auto"/>
        <w:ind w:right="0"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8.分体空调、多联机空调的维护保养</w:t>
      </w:r>
    </w:p>
    <w:p w14:paraId="3FE5CE4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（1）空调全面启动之前，进行相关设备整体维修和维护，相关记录清晰完整：每年4月、10月对所有空调使用效果进行一次巡检，发现问题及时解决。</w:t>
      </w:r>
    </w:p>
    <w:p w14:paraId="50B4EB3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（2）空调使用时，每天应检查空调制冷温度，温度不得低于26℃；空调开启与关闭应进行统一控制，无人使用或使用率极低时，原则上应关闭空调</w:t>
      </w:r>
      <w:r>
        <w:rPr>
          <w:rFonts w:hint="eastAsia" w:ascii="仿宋" w:hAnsi="仿宋" w:eastAsia="仿宋" w:cs="仿宋"/>
          <w:bCs/>
          <w:color w:val="auto"/>
          <w:sz w:val="28"/>
          <w:szCs w:val="28"/>
          <w:lang w:eastAsia="zh-CN"/>
        </w:rPr>
        <w:t>。</w:t>
      </w:r>
    </w:p>
    <w:p w14:paraId="277C118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3）定期（一般为1-2月）清洗分体空调、多联机空调蒸发器（或冷凝器）的进风过滤网。定期清洗分体空调、多联机空调蒸发器（盘管）翅片上的结灰；检查分体空调、多联机空调凝露水排水管是否畅通；做好分体空调、多联机空调室外机组的维护保养；定期清除冷凝器翅片间结灰，确保通风流畅；定期对分体空调、多联机空调室外机组内部作清扫工作</w:t>
      </w:r>
      <w:r>
        <w:rPr>
          <w:rFonts w:hint="eastAsia" w:ascii="仿宋" w:hAnsi="仿宋" w:eastAsia="仿宋" w:cs="仿宋"/>
          <w:bCs/>
          <w:color w:val="auto"/>
          <w:sz w:val="28"/>
          <w:szCs w:val="28"/>
          <w:lang w:eastAsia="zh-CN"/>
        </w:rPr>
        <w:t>。</w:t>
      </w:r>
    </w:p>
    <w:p w14:paraId="2B50B0D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sz w:val="28"/>
          <w:szCs w:val="28"/>
        </w:rPr>
      </w:pPr>
      <w:r>
        <w:rPr>
          <w:rFonts w:hint="eastAsia" w:ascii="仿宋" w:hAnsi="仿宋" w:eastAsia="仿宋" w:cs="仿宋"/>
          <w:bCs/>
          <w:color w:val="auto"/>
          <w:sz w:val="28"/>
          <w:szCs w:val="28"/>
        </w:rPr>
        <w:t>（4）定期检查分体空调、多联机空调压缩机和风机的运行状态；定期检查分体空调、多联机空调电器的运行状况，保持运行良好；定期检查制冷系统的运行状态；定期检查制冷系统连接管口焊接点、接扣处是否有油迹；严禁超负荷运行；检查分体空调、多联机空调机组的插头与插座的接触是否良好；保持电气系统的干燥、清洁、防止电气系统受潮而漏电。雨季做好防潮、防霉工作。</w:t>
      </w:r>
    </w:p>
    <w:p w14:paraId="1DC23E8D">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配合节水节电管理服务要求</w:t>
      </w:r>
    </w:p>
    <w:p w14:paraId="78CF1EB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积极做好节水节电工作，强化节能管理和员工节能意识。具体要求如下：</w:t>
      </w:r>
    </w:p>
    <w:p w14:paraId="0785729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1.建立内部节能管理制度，加强员工节能培训、宣传，全年举行培训不少于1次，宣传不少于2次。</w:t>
      </w:r>
    </w:p>
    <w:p w14:paraId="13F0BE8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2.楼宇内杜绝长明灯、长流水，做到人走灯灭，人走水停，无跑、冒、滴、漏现象。</w:t>
      </w:r>
    </w:p>
    <w:p w14:paraId="4C86BF2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3.各楼宇管理员负责巡视检查，发现水电浪费的行为要及时制止，检查情况要记录备案。</w:t>
      </w:r>
    </w:p>
    <w:p w14:paraId="53F40986">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其它服务及要求</w:t>
      </w:r>
    </w:p>
    <w:p w14:paraId="4B80413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对校区所有设备、设施进行巡视并进行维护、维修及保养，及时开关各种用电、供水设施，发现异常情况及时进行维修，对损坏的零配件及时更换，保证校区内供电、供水系统能正常运行（包括水龙头的拆装，给排水管道疏通、清洁、维修保养）。</w:t>
      </w:r>
    </w:p>
    <w:p w14:paraId="118B647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对屋面排水沟、室内排水管进行清扫、疏通，保障排水畅通；雨季、雪季前一个月要对建筑物天面进行检查，发现防水层有气臌、破碎，隔热层有断裂、缺损的应及时维修，对屋面防水层有气臌、破碎，缺损的面积较大时应及时报告委托方并出具维修方案，双方共同协商维修事宜（伸缩缝、落水口周围、卫生间、阳台、墙面的漏水由供应商负责及时维修）。</w:t>
      </w:r>
    </w:p>
    <w:p w14:paraId="45216BE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3.遇有市政维修、校区维修或特殊情况需停电停水时，应及时通知委托方，并在宣传栏张贴书面通知，做好应急预案和安全防护工作。</w:t>
      </w:r>
    </w:p>
    <w:p w14:paraId="5F56E3A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4.对建筑物瓷片脱掉的要及时维修，平时做好各建筑物保养工作。</w:t>
      </w:r>
    </w:p>
    <w:p w14:paraId="6119A3D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5.整个学校内露天井盖、灯具灯饰等要不定期检查，有缺漏和损坏的，及时补足和维修。保证露天井盖盖严实，以防伤人；照明路灯检查孔封闭完好，以防漏电触电。</w:t>
      </w:r>
    </w:p>
    <w:p w14:paraId="084F58C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6.负责所有室内外的桌椅、门窗、玻璃、幕墙、黑板、屋面、墙面、墙砖、地砖、吊顶、防水、空调、电扇、卫生间隔断、家具、所有楼宇室内外上下水管网、水电暧、照明灯具、开关插座的日常检查维修、管理、运行、维护及保养，负责保证各项设施正常、安全运行。</w:t>
      </w:r>
    </w:p>
    <w:p w14:paraId="7197E014">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7.每周一次巡查室外其他附属设施，保证其正常运行。节假日特别是重大节日前，应对学校各场所景观设施、照明进行安全功能检查，保证节假日期间各项设施正常、安全运行。</w:t>
      </w:r>
    </w:p>
    <w:p w14:paraId="7E5F3CB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8.每年寒假和暑假前，</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进行全校排查，登记好待维修项目，在寒假或暑假期间统一维修，确保新学期学校各场所设备设施的零损坏。</w:t>
      </w:r>
    </w:p>
    <w:p w14:paraId="712467B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9.每年毕业生离校后和新生报到前期间，</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全面检查学生宿舍的设施设备完好情况。如发现损坏或缺少的，应及时维修或更换好。</w:t>
      </w:r>
    </w:p>
    <w:p w14:paraId="7CDEAD0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10.配合采购人或消防、安监等部门做好安全宣传和查验、维修工作。</w:t>
      </w:r>
    </w:p>
    <w:p w14:paraId="1864BAD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11.对设施、设备进行日常管理和维修养护使用完好率达到98%以上，零修、急修及时率达100%，师生的满意率达到95%以上。所有接到报修任务15分钟到达现场。简单的维修2小时内处理完毕，小维修15分钟到达现场，一般维修4小时处理完毕，中型维修15分钟到达现场，12小时当天处理完毕，大的维修项目应拿出维修方案并立即通知</w:t>
      </w:r>
      <w:r>
        <w:rPr>
          <w:rFonts w:hint="eastAsia" w:ascii="仿宋" w:hAnsi="仿宋" w:eastAsia="仿宋" w:cs="仿宋"/>
          <w:bCs/>
          <w:color w:val="auto"/>
          <w:sz w:val="28"/>
          <w:szCs w:val="28"/>
          <w:lang w:val="en-US" w:eastAsia="zh-CN"/>
        </w:rPr>
        <w:t>采购人</w:t>
      </w:r>
      <w:r>
        <w:rPr>
          <w:rFonts w:hint="eastAsia" w:ascii="仿宋" w:hAnsi="仿宋" w:eastAsia="仿宋" w:cs="仿宋"/>
          <w:bCs/>
          <w:color w:val="auto"/>
          <w:sz w:val="28"/>
          <w:szCs w:val="28"/>
        </w:rPr>
        <w:t>，经双方协商再确定维修方式及完成时限。小修范围的设施、设备，及时组织修复；属大、中修范围或需更新改造的设施设备，及时报委托方确定维修方案。</w:t>
      </w:r>
    </w:p>
    <w:p w14:paraId="44CCCF9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12.负责宿舍热水、宿舍楼空调、洗衣机、电梯、智能用电系统的日常管理，主要工作为联系、督促热水、宿舍楼空调、洗衣机、电梯、智能用电系统的相关公司对设备进行日常维护和维修，如有重大问题或紧急情况及时向学校主管部门报告。</w:t>
      </w:r>
    </w:p>
    <w:p w14:paraId="635908D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13.学校电梯、锅炉系统以及建筑物主体等由学校委托专业维保公司维保。</w:t>
      </w:r>
    </w:p>
    <w:p w14:paraId="5D520AB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14.在学生宿舍公物遭破坏时，应配合学校主管部门调查核实具体情况及进行相关处理。</w:t>
      </w:r>
    </w:p>
    <w:p w14:paraId="6B860130">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15.路灯完好无损，保持洁净，夜间正常使用，定期检查，维护保养；及时处理好学校临时交予的各项任务。</w:t>
      </w:r>
    </w:p>
    <w:p w14:paraId="58B7B4C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16.维修人员所使用的工具等由供应商配备；维修中所使用的材料及零配件由学校负责，由供应商按以旧换新的原则向学校领取。供应商在维修中原则上是能维修尽量维修，确实不能维修再更换，对更换批量较大的应以书面的形式通知采购人管理部门，待许可后才能更换。</w:t>
      </w:r>
    </w:p>
    <w:p w14:paraId="6899C47E">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17.对于应急性抢修任务，如供应商确有困难不能维修，经采购人管理部门确认后由学校组织安排维修，费用从供应商物业服务费中扣除。</w:t>
      </w:r>
    </w:p>
    <w:p w14:paraId="3F7F41D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18.对应急性抢修或特殊性维修，为提高维修效率，经采购人管理部门认可，供应商可自行购置材料，但所需费用参照市场价格，并由采购人支付。</w:t>
      </w:r>
    </w:p>
    <w:p w14:paraId="4FAA548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19.与消防维保单位协调配合，完成学校供水管网设施突发问题的维修工作。</w:t>
      </w:r>
    </w:p>
    <w:p w14:paraId="03DFE672">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其它约定</w:t>
      </w:r>
    </w:p>
    <w:p w14:paraId="1FB571A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1.供应商应严格遵守采购人的各项规章制度，按合同规定执行，服从采购人管理。</w:t>
      </w:r>
    </w:p>
    <w:p w14:paraId="5CA9800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2.供应商</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公布24小时维修服务电话，保持电话畅通，非工作时间安排专人值班，及时处理紧急报修事项。</w:t>
      </w:r>
    </w:p>
    <w:p w14:paraId="1C7A2418">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3.接到报修单或报修电话，10分钟之内有响应，根据报修内容和预约时间及时进行维修。</w:t>
      </w:r>
    </w:p>
    <w:p w14:paraId="69B023A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4.如果借用采购人的维修工具，供应商应爱护使用维修工具，特殊维修工具使用后及时归还，损坏照价赔偿；维修材料及时书面上报，更换的废旧材料及时交回采购人管理部门。</w:t>
      </w:r>
    </w:p>
    <w:p w14:paraId="48BDF69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5.供应商要根据采购人管理部门提出的意见建议和整改要求，及时整改，以达到更好地维修服务效果。</w:t>
      </w:r>
    </w:p>
    <w:p w14:paraId="432051BB">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6.供应商</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按照需求中的要求配备人员，人员</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坚持上班签到，采购人管理部门不定时抽查人员配备情况。</w:t>
      </w:r>
    </w:p>
    <w:p w14:paraId="251D395A">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7.维修服务满意率95%以上，返修率不超过2%，投诉处理率100%。</w:t>
      </w:r>
    </w:p>
    <w:p w14:paraId="62976C6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8.供应商的维修人员上班期间</w:t>
      </w:r>
      <w:r>
        <w:rPr>
          <w:rFonts w:hint="eastAsia" w:ascii="仿宋" w:hAnsi="仿宋" w:eastAsia="仿宋" w:cs="仿宋"/>
          <w:bCs/>
          <w:color w:val="auto"/>
          <w:sz w:val="28"/>
          <w:szCs w:val="28"/>
          <w:lang w:val="en-US" w:eastAsia="zh-CN"/>
        </w:rPr>
        <w:t>需</w:t>
      </w:r>
      <w:r>
        <w:rPr>
          <w:rFonts w:hint="eastAsia" w:ascii="仿宋" w:hAnsi="仿宋" w:eastAsia="仿宋" w:cs="仿宋"/>
          <w:bCs/>
          <w:color w:val="auto"/>
          <w:sz w:val="28"/>
          <w:szCs w:val="28"/>
        </w:rPr>
        <w:t>保证人员到位，如有请假，</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通知采购人管理部门，不得空岗，睡岗，脱岗，离岗，当班人员不得饮酒。</w:t>
      </w:r>
    </w:p>
    <w:p w14:paraId="7500C836">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9.供应商爱护学校国有资产和节约资源减少浪费，不得损坏国有资产。</w:t>
      </w:r>
    </w:p>
    <w:p w14:paraId="1198D33F">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10.定期对员工进行安全操作及岗位技能培训，提高员工安全生产意识。根据采购人需求，配合并融入采购人云后勤在线报修系统。完成采购人管理部门交办的其他临时性工作任务。</w:t>
      </w:r>
    </w:p>
    <w:p w14:paraId="3A7C7D35">
      <w:pPr>
        <w:pStyle w:val="8"/>
        <w:pageBreakBefore w:val="0"/>
        <w:tabs>
          <w:tab w:val="left" w:pos="840"/>
        </w:tabs>
        <w:kinsoku/>
        <w:wordWrap/>
        <w:overflowPunct/>
        <w:topLinePunct w:val="0"/>
        <w:bidi w:val="0"/>
        <w:spacing w:before="0" w:after="0" w:line="360" w:lineRule="auto"/>
        <w:ind w:left="0" w:leftChars="0" w:right="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档案资料管理要求</w:t>
      </w:r>
    </w:p>
    <w:p w14:paraId="27E37433">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1.供应商要建立资料的收集、分类整理、归档管理制度。</w:t>
      </w:r>
    </w:p>
    <w:p w14:paraId="56AA568C">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2.在日常管理中要建立学校设施设备检查保养档案、业务培训考核、站房管理日志等制度。</w:t>
      </w:r>
    </w:p>
    <w:p w14:paraId="7A3AC767">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3.管理委托合同规定的其它事项。</w:t>
      </w:r>
    </w:p>
    <w:p w14:paraId="2A9C8F11">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4.以上资料</w:t>
      </w:r>
      <w:r>
        <w:rPr>
          <w:rFonts w:hint="eastAsia" w:ascii="仿宋" w:hAnsi="仿宋" w:eastAsia="仿宋" w:cs="仿宋"/>
          <w:bCs/>
          <w:color w:val="auto"/>
          <w:sz w:val="28"/>
          <w:szCs w:val="28"/>
          <w:lang w:eastAsia="zh-CN"/>
        </w:rPr>
        <w:t>需</w:t>
      </w:r>
      <w:r>
        <w:rPr>
          <w:rFonts w:hint="eastAsia" w:ascii="仿宋" w:hAnsi="仿宋" w:eastAsia="仿宋" w:cs="仿宋"/>
          <w:bCs/>
          <w:color w:val="auto"/>
          <w:sz w:val="28"/>
          <w:szCs w:val="28"/>
        </w:rPr>
        <w:t>每月装订提交给采购人归档。</w:t>
      </w:r>
    </w:p>
    <w:p w14:paraId="660C88F2">
      <w:pPr>
        <w:pageBreakBefore w:val="0"/>
        <w:tabs>
          <w:tab w:val="left" w:pos="424"/>
        </w:tabs>
        <w:kinsoku/>
        <w:wordWrap/>
        <w:overflowPunct/>
        <w:topLinePunct w:val="0"/>
        <w:bidi w:val="0"/>
        <w:spacing w:line="360" w:lineRule="auto"/>
        <w:ind w:left="0" w:leftChars="0" w:right="0" w:firstLine="560" w:firstLineChars="200"/>
        <w:rPr>
          <w:rFonts w:hint="eastAsia" w:ascii="仿宋" w:hAnsi="仿宋" w:eastAsia="仿宋" w:cs="仿宋"/>
          <w:bCs/>
          <w:color w:val="auto"/>
          <w:sz w:val="28"/>
          <w:szCs w:val="28"/>
        </w:rPr>
      </w:pPr>
    </w:p>
    <w:p w14:paraId="39B54CAC">
      <w:pPr>
        <w:pageBreakBefore w:val="0"/>
        <w:tabs>
          <w:tab w:val="left" w:pos="424"/>
        </w:tabs>
        <w:kinsoku/>
        <w:wordWrap/>
        <w:overflowPunct/>
        <w:topLinePunct w:val="0"/>
        <w:bidi w:val="0"/>
        <w:spacing w:line="360" w:lineRule="auto"/>
        <w:ind w:right="0"/>
        <w:jc w:val="center"/>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第七节  专项要求</w:t>
      </w:r>
    </w:p>
    <w:p w14:paraId="527C6328">
      <w:pPr>
        <w:pageBreakBefore w:val="0"/>
        <w:kinsoku/>
        <w:wordWrap/>
        <w:overflowPunct/>
        <w:topLinePunct w:val="0"/>
        <w:bidi w:val="0"/>
        <w:spacing w:line="360" w:lineRule="auto"/>
        <w:ind w:left="0" w:leftChars="0" w:right="0" w:firstLine="573" w:firstLineChars="204"/>
        <w:outlineLvl w:val="2"/>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pacing w:val="0"/>
          <w:sz w:val="28"/>
          <w:szCs w:val="28"/>
          <w:lang w:val="en-US" w:eastAsia="zh-CN"/>
        </w:rPr>
        <w:t>一、</w:t>
      </w:r>
      <w:r>
        <w:rPr>
          <w:rFonts w:hint="eastAsia" w:ascii="仿宋" w:hAnsi="仿宋" w:eastAsia="仿宋" w:cs="仿宋"/>
          <w:b/>
          <w:bCs w:val="0"/>
          <w:color w:val="auto"/>
          <w:spacing w:val="0"/>
          <w:sz w:val="28"/>
          <w:szCs w:val="28"/>
        </w:rPr>
        <w:t>节能管理</w:t>
      </w:r>
      <w:r>
        <w:rPr>
          <w:rFonts w:hint="eastAsia" w:ascii="仿宋" w:hAnsi="仿宋" w:eastAsia="仿宋" w:cs="仿宋"/>
          <w:b/>
          <w:bCs w:val="0"/>
          <w:color w:val="auto"/>
          <w:spacing w:val="0"/>
          <w:sz w:val="28"/>
          <w:szCs w:val="28"/>
          <w:lang w:val="en-US" w:eastAsia="zh-CN"/>
        </w:rPr>
        <w:t>要求</w:t>
      </w:r>
    </w:p>
    <w:p w14:paraId="75773437">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lang w:val="en-US" w:eastAsia="zh-CN"/>
        </w:rPr>
        <w:t>（一）</w:t>
      </w:r>
      <w:r>
        <w:rPr>
          <w:rFonts w:hint="eastAsia" w:ascii="仿宋" w:hAnsi="仿宋" w:eastAsia="仿宋" w:cs="仿宋"/>
          <w:b/>
          <w:bCs w:val="0"/>
          <w:color w:val="auto"/>
          <w:spacing w:val="0"/>
          <w:sz w:val="28"/>
          <w:szCs w:val="28"/>
        </w:rPr>
        <w:t>服务内容</w:t>
      </w:r>
    </w:p>
    <w:p w14:paraId="1D24571E">
      <w:pPr>
        <w:pageBreakBefore w:val="0"/>
        <w:kinsoku/>
        <w:wordWrap/>
        <w:overflowPunct/>
        <w:topLinePunct w:val="0"/>
        <w:bidi w:val="0"/>
        <w:spacing w:line="360" w:lineRule="auto"/>
        <w:ind w:left="0" w:leftChars="0" w:right="0" w:firstLine="571" w:firstLineChars="204"/>
        <w:jc w:val="both"/>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落实学校有关能源管理制度，配合学校相关部门完成能源数据的采集，统计和报送、能源管理平台的建设和调试、运行、维护等工作，确保学校节能管理措施落实到位。</w:t>
      </w:r>
    </w:p>
    <w:p w14:paraId="57A65AA7">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（二）服务要求</w:t>
      </w:r>
    </w:p>
    <w:p w14:paraId="31A47A18">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认真落实</w:t>
      </w:r>
      <w:r>
        <w:rPr>
          <w:rFonts w:hint="eastAsia" w:ascii="仿宋" w:hAnsi="仿宋" w:eastAsia="仿宋" w:cs="仿宋"/>
          <w:bCs/>
          <w:color w:val="auto"/>
          <w:spacing w:val="0"/>
          <w:sz w:val="28"/>
          <w:szCs w:val="28"/>
          <w:lang w:val="en-US" w:eastAsia="zh-CN"/>
        </w:rPr>
        <w:t>国家及河南省关于节能管理</w:t>
      </w:r>
      <w:r>
        <w:rPr>
          <w:rFonts w:hint="eastAsia" w:ascii="仿宋" w:hAnsi="仿宋" w:eastAsia="仿宋" w:cs="仿宋"/>
          <w:bCs/>
          <w:color w:val="auto"/>
          <w:spacing w:val="0"/>
          <w:sz w:val="28"/>
          <w:szCs w:val="28"/>
        </w:rPr>
        <w:t>文件要求</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lang w:val="en-US" w:eastAsia="zh-CN"/>
        </w:rPr>
        <w:t>落实</w:t>
      </w:r>
      <w:r>
        <w:rPr>
          <w:rFonts w:hint="eastAsia" w:ascii="仿宋" w:hAnsi="仿宋" w:eastAsia="仿宋" w:cs="仿宋"/>
          <w:bCs/>
          <w:color w:val="auto"/>
          <w:sz w:val="28"/>
          <w:szCs w:val="28"/>
        </w:rPr>
        <w:t>《河南财经政法大学节约型校园建设实施方案》、《河南财经政法大学绿色学校创建行动方案》、《河南财经政法大学能源使用管理办法》、《河南财经政法大学空调使用管理办法》等一系列文件</w:t>
      </w:r>
      <w:r>
        <w:rPr>
          <w:rFonts w:hint="eastAsia" w:ascii="仿宋" w:hAnsi="仿宋" w:eastAsia="仿宋" w:cs="仿宋"/>
          <w:bCs/>
          <w:color w:val="auto"/>
          <w:spacing w:val="0"/>
          <w:sz w:val="28"/>
          <w:szCs w:val="28"/>
          <w:lang w:val="en-US" w:eastAsia="zh-CN"/>
        </w:rPr>
        <w:t>要求；</w:t>
      </w:r>
      <w:r>
        <w:rPr>
          <w:rFonts w:hint="eastAsia" w:ascii="仿宋" w:hAnsi="仿宋" w:eastAsia="仿宋" w:cs="仿宋"/>
          <w:bCs/>
          <w:color w:val="auto"/>
          <w:spacing w:val="0"/>
          <w:sz w:val="28"/>
          <w:szCs w:val="28"/>
        </w:rPr>
        <w:t>每年利用“世界水日”、“中国水周”</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rPr>
        <w:t>“节能宣传周”开展不少于两次的节能宣传，推动绿色学校创建，落实双碳目标。</w:t>
      </w:r>
    </w:p>
    <w:p w14:paraId="68FF06EE">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严格执行学校空调使用管理规定，结合实际天气情况，制定开启方案，合理进行可控性管理；不按规定运行，将对物业服务单位进行处罚。</w:t>
      </w:r>
    </w:p>
    <w:p w14:paraId="22E02D28">
      <w:pPr>
        <w:pageBreakBefore w:val="0"/>
        <w:kinsoku/>
        <w:wordWrap/>
        <w:overflowPunct/>
        <w:topLinePunct w:val="0"/>
        <w:bidi w:val="0"/>
        <w:spacing w:line="360" w:lineRule="auto"/>
        <w:ind w:left="0" w:leftChars="0" w:right="0" w:firstLine="573" w:firstLineChars="204"/>
        <w:outlineLvl w:val="2"/>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pacing w:val="0"/>
          <w:sz w:val="28"/>
          <w:szCs w:val="28"/>
          <w:lang w:val="en-US" w:eastAsia="zh-CN"/>
        </w:rPr>
        <w:t>二</w:t>
      </w:r>
      <w:r>
        <w:rPr>
          <w:rFonts w:hint="eastAsia" w:ascii="仿宋" w:hAnsi="仿宋" w:eastAsia="仿宋" w:cs="仿宋"/>
          <w:b/>
          <w:bCs w:val="0"/>
          <w:color w:val="auto"/>
          <w:spacing w:val="0"/>
          <w:sz w:val="28"/>
          <w:szCs w:val="28"/>
        </w:rPr>
        <w:t>、文化建设</w:t>
      </w:r>
      <w:r>
        <w:rPr>
          <w:rFonts w:hint="eastAsia" w:ascii="仿宋" w:hAnsi="仿宋" w:eastAsia="仿宋" w:cs="仿宋"/>
          <w:b/>
          <w:bCs w:val="0"/>
          <w:color w:val="auto"/>
          <w:spacing w:val="0"/>
          <w:sz w:val="28"/>
          <w:szCs w:val="28"/>
          <w:lang w:val="en-US" w:eastAsia="zh-CN"/>
        </w:rPr>
        <w:t>要求</w:t>
      </w:r>
    </w:p>
    <w:p w14:paraId="3F5356F2">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（一）服务内容</w:t>
      </w:r>
    </w:p>
    <w:p w14:paraId="678F2CAF">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校区软环境的创设与保持等。</w:t>
      </w:r>
    </w:p>
    <w:p w14:paraId="2D4D1069">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（二）服务要求</w:t>
      </w:r>
    </w:p>
    <w:p w14:paraId="060DDF13">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1</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彰显</w:t>
      </w:r>
      <w:r>
        <w:rPr>
          <w:rFonts w:hint="eastAsia" w:ascii="仿宋" w:hAnsi="仿宋" w:eastAsia="仿宋" w:cs="仿宋"/>
          <w:bCs/>
          <w:color w:val="auto"/>
          <w:spacing w:val="0"/>
          <w:sz w:val="28"/>
          <w:szCs w:val="28"/>
          <w:lang w:val="en-US" w:eastAsia="zh-CN"/>
        </w:rPr>
        <w:t>河南财经政法</w:t>
      </w:r>
      <w:r>
        <w:rPr>
          <w:rFonts w:hint="eastAsia" w:ascii="仿宋" w:hAnsi="仿宋" w:eastAsia="仿宋" w:cs="仿宋"/>
          <w:bCs/>
          <w:color w:val="auto"/>
          <w:spacing w:val="0"/>
          <w:sz w:val="28"/>
          <w:szCs w:val="28"/>
        </w:rPr>
        <w:t>大学的校园文化特色、办学理念；</w:t>
      </w:r>
    </w:p>
    <w:p w14:paraId="7BF38876">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2</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负责校园文化设施、标识用品的保洁与维护；</w:t>
      </w:r>
    </w:p>
    <w:p w14:paraId="4BD027DD">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3</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与师生联谊开展健康</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rPr>
        <w:t>积极向上的文化活动；</w:t>
      </w:r>
    </w:p>
    <w:p w14:paraId="595FBAA7">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4</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积极参与绿色校园、和谐校园、环境友好型校园、平安校园建设；</w:t>
      </w:r>
    </w:p>
    <w:p w14:paraId="259E8991">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5</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创设良好的企业文化，与校园文化形成良性互动；</w:t>
      </w:r>
    </w:p>
    <w:p w14:paraId="5CF51280">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6</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围绕高质量发展，主动参与行业创优活动。</w:t>
      </w:r>
    </w:p>
    <w:p w14:paraId="18561CAE">
      <w:pPr>
        <w:pageBreakBefore w:val="0"/>
        <w:kinsoku/>
        <w:wordWrap/>
        <w:overflowPunct/>
        <w:topLinePunct w:val="0"/>
        <w:bidi w:val="0"/>
        <w:spacing w:line="360" w:lineRule="auto"/>
        <w:ind w:left="0" w:leftChars="0" w:right="0" w:firstLine="573" w:firstLineChars="204"/>
        <w:outlineLvl w:val="2"/>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pacing w:val="0"/>
          <w:sz w:val="28"/>
          <w:szCs w:val="28"/>
          <w:lang w:val="en-US" w:eastAsia="zh-CN"/>
        </w:rPr>
        <w:t>三</w:t>
      </w:r>
      <w:r>
        <w:rPr>
          <w:rFonts w:hint="eastAsia" w:ascii="仿宋" w:hAnsi="仿宋" w:eastAsia="仿宋" w:cs="仿宋"/>
          <w:b/>
          <w:bCs w:val="0"/>
          <w:color w:val="auto"/>
          <w:spacing w:val="0"/>
          <w:sz w:val="28"/>
          <w:szCs w:val="28"/>
        </w:rPr>
        <w:t>、大型活动管理</w:t>
      </w:r>
      <w:r>
        <w:rPr>
          <w:rFonts w:hint="eastAsia" w:ascii="仿宋" w:hAnsi="仿宋" w:eastAsia="仿宋" w:cs="仿宋"/>
          <w:b/>
          <w:bCs w:val="0"/>
          <w:color w:val="auto"/>
          <w:spacing w:val="0"/>
          <w:sz w:val="28"/>
          <w:szCs w:val="28"/>
          <w:lang w:val="en-US" w:eastAsia="zh-CN"/>
        </w:rPr>
        <w:t>要求</w:t>
      </w:r>
    </w:p>
    <w:p w14:paraId="35A9DA78">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（一）服务内容</w:t>
      </w:r>
    </w:p>
    <w:p w14:paraId="6D1B836C">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保证学校组织的各类会议、论坛、交流以及社会活动（包含但不限于新生开学、军训、开毕业典礼、运动会、双招会、各种考试、各级主管部门检查</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rPr>
        <w:t>等顺利进行和服务保障。</w:t>
      </w:r>
    </w:p>
    <w:p w14:paraId="61A63479">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（二）服务要求</w:t>
      </w:r>
    </w:p>
    <w:p w14:paraId="7AF1AB36">
      <w:pPr>
        <w:pageBreakBefore w:val="0"/>
        <w:tabs>
          <w:tab w:val="left" w:pos="0"/>
        </w:tabs>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1</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服从安排，接受统一管理和调配，做好活动筹划和应急预案；</w:t>
      </w:r>
    </w:p>
    <w:p w14:paraId="4CA41AFD">
      <w:pPr>
        <w:pageBreakBefore w:val="0"/>
        <w:tabs>
          <w:tab w:val="left" w:pos="0"/>
        </w:tabs>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2</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配置专业技术人员，做好与活动相关的设施设备检修和维护，确保设施设备运行良好；</w:t>
      </w:r>
    </w:p>
    <w:p w14:paraId="2449EF59">
      <w:pPr>
        <w:pageBreakBefore w:val="0"/>
        <w:tabs>
          <w:tab w:val="left" w:pos="0"/>
        </w:tabs>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3</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如突发设备故障导致停电，应在15分钟内查明原因并恢复；</w:t>
      </w:r>
    </w:p>
    <w:p w14:paraId="023FC009">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4</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活动期间（室外）时，考虑雨、雪、风等恶劣天气带来的影响，做好供电设备设施安全防护措施，适当准备防护物品，相关费用由物业公司承担；</w:t>
      </w:r>
    </w:p>
    <w:p w14:paraId="0A5DE45E">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5</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活动期间（室内）时，楼宇门口放置告知牌、张贴温馨提示；</w:t>
      </w:r>
    </w:p>
    <w:p w14:paraId="60E43E73">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6</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做好公共场所的环境保洁，放置临时垃圾收集器具，及时清理活动现场废弃的杂物；</w:t>
      </w:r>
    </w:p>
    <w:p w14:paraId="1F049CC1">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7</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活动期间，人员统一着装，着装整齐洁净；文明礼貌、规范、依法管理，不擅自参与和活动无关的活动；如参会人员有个性化服务要求，</w:t>
      </w:r>
      <w:r>
        <w:rPr>
          <w:rFonts w:hint="eastAsia" w:ascii="仿宋" w:hAnsi="仿宋" w:eastAsia="仿宋" w:cs="仿宋"/>
          <w:bCs/>
          <w:color w:val="auto"/>
          <w:spacing w:val="0"/>
          <w:sz w:val="28"/>
          <w:szCs w:val="28"/>
          <w:lang w:eastAsia="zh-CN"/>
        </w:rPr>
        <w:t>需</w:t>
      </w:r>
      <w:r>
        <w:rPr>
          <w:rFonts w:hint="eastAsia" w:ascii="仿宋" w:hAnsi="仿宋" w:eastAsia="仿宋" w:cs="仿宋"/>
          <w:bCs/>
          <w:color w:val="auto"/>
          <w:spacing w:val="0"/>
          <w:sz w:val="28"/>
          <w:szCs w:val="28"/>
        </w:rPr>
        <w:t>及时汇报，不能擅自实施；</w:t>
      </w:r>
    </w:p>
    <w:p w14:paraId="78A6ECE9">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8</w:t>
      </w:r>
      <w:r>
        <w:rPr>
          <w:rFonts w:hint="eastAsia" w:ascii="仿宋" w:hAnsi="仿宋" w:eastAsia="仿宋" w:cs="仿宋"/>
          <w:bCs/>
          <w:color w:val="auto"/>
          <w:spacing w:val="0"/>
          <w:sz w:val="28"/>
          <w:szCs w:val="28"/>
          <w:lang w:val="en-US" w:eastAsia="zh-CN"/>
        </w:rPr>
        <w:t>.</w:t>
      </w:r>
      <w:r>
        <w:rPr>
          <w:rFonts w:hint="eastAsia" w:ascii="仿宋" w:hAnsi="仿宋" w:eastAsia="仿宋" w:cs="仿宋"/>
          <w:bCs/>
          <w:color w:val="auto"/>
          <w:spacing w:val="0"/>
          <w:sz w:val="28"/>
          <w:szCs w:val="28"/>
        </w:rPr>
        <w:t>活动后，及时清理现场杂物，恢复正常办公教学秩序；</w:t>
      </w:r>
    </w:p>
    <w:p w14:paraId="2503F6E2">
      <w:pPr>
        <w:pageBreakBefore w:val="0"/>
        <w:kinsoku/>
        <w:wordWrap/>
        <w:overflowPunct/>
        <w:topLinePunct w:val="0"/>
        <w:bidi w:val="0"/>
        <w:spacing w:line="360" w:lineRule="auto"/>
        <w:ind w:left="0" w:leftChars="0" w:right="0" w:firstLine="573" w:firstLineChars="204"/>
        <w:outlineLvl w:val="2"/>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lang w:val="en-US" w:eastAsia="zh-CN"/>
        </w:rPr>
        <w:t>四</w:t>
      </w:r>
      <w:r>
        <w:rPr>
          <w:rFonts w:hint="eastAsia" w:ascii="仿宋" w:hAnsi="仿宋" w:eastAsia="仿宋" w:cs="仿宋"/>
          <w:b/>
          <w:bCs w:val="0"/>
          <w:color w:val="auto"/>
          <w:spacing w:val="0"/>
          <w:sz w:val="28"/>
          <w:szCs w:val="28"/>
        </w:rPr>
        <w:t>、防汛、防台风、防地震，雨雪极端天气应对工作</w:t>
      </w:r>
    </w:p>
    <w:p w14:paraId="6416E01B">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（一）防汛、防台风、防地震服务要求</w:t>
      </w:r>
    </w:p>
    <w:p w14:paraId="4E699862">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1.坚持“安全第一、常备不懈、以防为主、全力抢险”的工作方针，从严、从细、从实做好各项工作。</w:t>
      </w:r>
    </w:p>
    <w:p w14:paraId="0036FE54">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2.按照“六有</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rPr>
        <w:t>（有组织机构、有工作制度、有防汛预案、有物资储备、有抢险队伍、有避灾场所）要求 ，成立应急处置工作小组，制定详细的安全预案，责任到人，分工到位，将工作预案落实落细。</w:t>
      </w:r>
    </w:p>
    <w:p w14:paraId="11291843">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3.全面排查风险隐患，对校区的建筑物、特种设备、变电室、锅炉房、换热站、泵房、</w:t>
      </w:r>
      <w:r>
        <w:rPr>
          <w:rFonts w:hint="eastAsia" w:ascii="仿宋" w:hAnsi="仿宋" w:eastAsia="仿宋" w:cs="仿宋"/>
          <w:bCs/>
          <w:color w:val="auto"/>
          <w:spacing w:val="0"/>
          <w:sz w:val="28"/>
          <w:szCs w:val="28"/>
          <w:lang w:val="en-US" w:eastAsia="zh-CN"/>
        </w:rPr>
        <w:t>景观湖</w:t>
      </w:r>
      <w:r>
        <w:rPr>
          <w:rFonts w:hint="eastAsia" w:ascii="仿宋" w:hAnsi="仿宋" w:eastAsia="仿宋" w:cs="仿宋"/>
          <w:bCs/>
          <w:color w:val="auto"/>
          <w:spacing w:val="0"/>
          <w:sz w:val="28"/>
          <w:szCs w:val="28"/>
        </w:rPr>
        <w:t>、</w:t>
      </w:r>
      <w:r>
        <w:rPr>
          <w:rFonts w:hint="eastAsia" w:ascii="仿宋" w:hAnsi="仿宋" w:eastAsia="仿宋" w:cs="仿宋"/>
          <w:bCs/>
          <w:color w:val="auto"/>
          <w:spacing w:val="0"/>
          <w:sz w:val="28"/>
          <w:szCs w:val="28"/>
          <w:lang w:val="en-US" w:eastAsia="zh-CN"/>
        </w:rPr>
        <w:t>水系、</w:t>
      </w:r>
      <w:r>
        <w:rPr>
          <w:rFonts w:hint="eastAsia" w:ascii="仿宋" w:hAnsi="仿宋" w:eastAsia="仿宋" w:cs="仿宋"/>
          <w:bCs/>
          <w:color w:val="auto"/>
          <w:spacing w:val="0"/>
          <w:sz w:val="28"/>
          <w:szCs w:val="28"/>
        </w:rPr>
        <w:t>雨水管道、检查井等进行再检查，再清理，及时清理杂物，确保排水通畅；对公共楼宇的屋面、排水口、排水管道再进行全面检查，清理屋面杂物，保证排水通畅，消除防汛隐患。加大对</w:t>
      </w:r>
      <w:r>
        <w:rPr>
          <w:rFonts w:hint="eastAsia" w:ascii="仿宋" w:hAnsi="仿宋" w:eastAsia="仿宋" w:cs="仿宋"/>
          <w:bCs/>
          <w:color w:val="auto"/>
          <w:spacing w:val="0"/>
          <w:sz w:val="28"/>
          <w:szCs w:val="28"/>
          <w:lang w:val="en-US" w:eastAsia="zh-CN"/>
        </w:rPr>
        <w:t>配</w:t>
      </w:r>
      <w:r>
        <w:rPr>
          <w:rFonts w:hint="eastAsia" w:ascii="仿宋" w:hAnsi="仿宋" w:eastAsia="仿宋" w:cs="仿宋"/>
          <w:bCs/>
          <w:color w:val="auto"/>
          <w:spacing w:val="0"/>
          <w:sz w:val="28"/>
          <w:szCs w:val="28"/>
        </w:rPr>
        <w:t>电室、二次供水等供水供电设备的检修维护工作力度，确保设施设备安全运行。及时盘点防汛物资，确保物资充足，正常使用，满足防汛需求。</w:t>
      </w:r>
    </w:p>
    <w:p w14:paraId="2546AED5">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4.根据预案进行演练，通过演练，查找防范不足，补全预案漏洞，强化全员安全意识，完善应急实操，增强应对极端天气突发险情处置能力，全面做好各项工作。</w:t>
      </w:r>
    </w:p>
    <w:p w14:paraId="504E31A2">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5.开展防汛防台风等知识宣传，及时关注天气预报。降雨量较大或气象部门发布暴雨预警后，各工作组人员</w:t>
      </w:r>
      <w:r>
        <w:rPr>
          <w:rFonts w:hint="eastAsia" w:ascii="仿宋" w:hAnsi="仿宋" w:eastAsia="仿宋" w:cs="仿宋"/>
          <w:bCs/>
          <w:color w:val="auto"/>
          <w:spacing w:val="0"/>
          <w:sz w:val="28"/>
          <w:szCs w:val="28"/>
          <w:lang w:eastAsia="zh-CN"/>
        </w:rPr>
        <w:t>需</w:t>
      </w:r>
      <w:r>
        <w:rPr>
          <w:rFonts w:hint="eastAsia" w:ascii="仿宋" w:hAnsi="仿宋" w:eastAsia="仿宋" w:cs="仿宋"/>
          <w:bCs/>
          <w:color w:val="auto"/>
          <w:spacing w:val="0"/>
          <w:sz w:val="28"/>
          <w:szCs w:val="28"/>
        </w:rPr>
        <w:t>在岗待命，24小时值班，保持24小时通讯畅通，及时通报风情、水情、雨情，雪情做好各项安全防范准备。</w:t>
      </w:r>
    </w:p>
    <w:p w14:paraId="6521B86F">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6.结合危险区域和隐患排查情况，确定转移避险人员基础名单 ，提前向有关人员发放转移避险“明白纸</w:t>
      </w:r>
      <w:r>
        <w:rPr>
          <w:rFonts w:hint="eastAsia" w:ascii="仿宋" w:hAnsi="仿宋" w:eastAsia="仿宋" w:cs="仿宋"/>
          <w:bCs/>
          <w:color w:val="auto"/>
          <w:spacing w:val="0"/>
          <w:sz w:val="28"/>
          <w:szCs w:val="28"/>
          <w:lang w:eastAsia="zh-CN"/>
        </w:rPr>
        <w:t>”</w:t>
      </w:r>
      <w:r>
        <w:rPr>
          <w:rFonts w:hint="eastAsia" w:ascii="仿宋" w:hAnsi="仿宋" w:eastAsia="仿宋" w:cs="仿宋"/>
          <w:bCs/>
          <w:color w:val="auto"/>
          <w:spacing w:val="0"/>
          <w:sz w:val="28"/>
          <w:szCs w:val="28"/>
        </w:rPr>
        <w:t>。 明确预警信号、信号发布人、转移路线、转移地点以及其它注意事项。</w:t>
      </w:r>
    </w:p>
    <w:p w14:paraId="26EA4898">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（二）雨雪寒潮等极端天气应对工作</w:t>
      </w:r>
    </w:p>
    <w:p w14:paraId="0F24DF09">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1.加强对暴风雪天气的预测预警，发现隐患及早采取有效的预防和控制措施。</w:t>
      </w:r>
    </w:p>
    <w:p w14:paraId="403369E6">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2．组织开展校园安全大检查，对校内体育设施，围墙栏杆、楼梯扶手、景观雕塑、文化设施、厕所内隔墙等部位重点检查，及时消除隐患，确保安全。</w:t>
      </w:r>
    </w:p>
    <w:p w14:paraId="6FCFF729">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3．加强对校舍等安全隐患排查工作，对建筑物顶棚、校内公共场所和主干道(如校门、通道、楼梯、厕所、食堂、宿舍等)等区域的积雪应进行清除，防止坍塌事故，在重点区域采取设置安全警示标志等防护措施，加强水电气等设施防护，特别是易燃易爆的危化品、自来水管、消防栓等要做好防冻裂措施。</w:t>
      </w:r>
    </w:p>
    <w:p w14:paraId="67EDBE4F">
      <w:pPr>
        <w:pageBreakBefore w:val="0"/>
        <w:kinsoku/>
        <w:wordWrap/>
        <w:overflowPunct/>
        <w:topLinePunct w:val="0"/>
        <w:bidi w:val="0"/>
        <w:spacing w:line="360" w:lineRule="auto"/>
        <w:ind w:left="0" w:leftChars="0" w:right="0" w:firstLine="571" w:firstLineChars="204"/>
        <w:jc w:val="both"/>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4．加强应急人员力量储备，如遇中雪以上等量级的恶劣天气时，应全天候保持足够人员力量。</w:t>
      </w:r>
    </w:p>
    <w:p w14:paraId="58BC1D63">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5.做好除冰扫雪等相应的机械、车辆、工具及物资准备工作。</w:t>
      </w:r>
    </w:p>
    <w:p w14:paraId="4D1A1D26">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6.随时关注天气变化情况，及时了解雨雪、冰雹等极端天气，根据上级的信息预报和预告，进行有针对性的工作布署。</w:t>
      </w:r>
    </w:p>
    <w:p w14:paraId="7806C4AB">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7．落实24小时值班和重要时段领导带班制度，保持通讯联络的畅通。值班人员要坚守岗位，确保及时做好信息互通和工作互动。出现灾情或紧急重大情况，应立即反应，妥善处置，并按规定在第一时间如实上报(1小时内)。</w:t>
      </w:r>
    </w:p>
    <w:p w14:paraId="45D11A1F">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8．严格执行上级应对雨雪天气相关决定与要求。</w:t>
      </w:r>
    </w:p>
    <w:p w14:paraId="3CED9357">
      <w:pPr>
        <w:pageBreakBefore w:val="0"/>
        <w:kinsoku/>
        <w:wordWrap/>
        <w:overflowPunct/>
        <w:topLinePunct w:val="0"/>
        <w:bidi w:val="0"/>
        <w:spacing w:line="360" w:lineRule="auto"/>
        <w:ind w:left="0" w:leftChars="0" w:right="0" w:firstLine="573" w:firstLineChars="204"/>
        <w:outlineLvl w:val="2"/>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lang w:val="en-US" w:eastAsia="zh-CN"/>
        </w:rPr>
        <w:t>五</w:t>
      </w:r>
      <w:r>
        <w:rPr>
          <w:rFonts w:hint="eastAsia" w:ascii="仿宋" w:hAnsi="仿宋" w:eastAsia="仿宋" w:cs="仿宋"/>
          <w:b/>
          <w:bCs w:val="0"/>
          <w:color w:val="auto"/>
          <w:spacing w:val="0"/>
          <w:sz w:val="28"/>
          <w:szCs w:val="28"/>
        </w:rPr>
        <w:t>、突发公共卫生事件</w:t>
      </w:r>
    </w:p>
    <w:p w14:paraId="013F6F3C">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（一）服务内容</w:t>
      </w:r>
    </w:p>
    <w:p w14:paraId="5F1F490C">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在突发公共卫生事件时，按照国家应对突发公共卫生事件相关要求开展工作。</w:t>
      </w:r>
    </w:p>
    <w:p w14:paraId="40FE2A24">
      <w:pPr>
        <w:pageBreakBefore w:val="0"/>
        <w:kinsoku/>
        <w:wordWrap/>
        <w:overflowPunct/>
        <w:topLinePunct w:val="0"/>
        <w:bidi w:val="0"/>
        <w:spacing w:line="360" w:lineRule="auto"/>
        <w:ind w:left="0" w:leftChars="0" w:right="0" w:firstLine="573" w:firstLineChars="204"/>
        <w:outlineLvl w:val="3"/>
        <w:rPr>
          <w:rFonts w:hint="eastAsia" w:ascii="仿宋" w:hAnsi="仿宋" w:eastAsia="仿宋" w:cs="仿宋"/>
          <w:b/>
          <w:bCs w:val="0"/>
          <w:color w:val="auto"/>
          <w:sz w:val="28"/>
          <w:szCs w:val="28"/>
        </w:rPr>
      </w:pPr>
      <w:r>
        <w:rPr>
          <w:rFonts w:hint="eastAsia" w:ascii="仿宋" w:hAnsi="仿宋" w:eastAsia="仿宋" w:cs="仿宋"/>
          <w:b/>
          <w:bCs w:val="0"/>
          <w:color w:val="auto"/>
          <w:spacing w:val="0"/>
          <w:sz w:val="28"/>
          <w:szCs w:val="28"/>
        </w:rPr>
        <w:t>（二）服务要求</w:t>
      </w:r>
    </w:p>
    <w:p w14:paraId="67429109">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1.应对不同突发公共卫生事件，制定应急预案和具体运行手册，及时应对不同类型突发公共卫生事件发生。</w:t>
      </w:r>
    </w:p>
    <w:p w14:paraId="4E1B5974">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2.加强员工培训，有针对性提升应对突发公共卫生事件的能力。</w:t>
      </w:r>
    </w:p>
    <w:p w14:paraId="3C3E41E8">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3.根据不同突发公共卫生事件，做好有关防控物资的购买、存储、使用等工作。</w:t>
      </w:r>
    </w:p>
    <w:p w14:paraId="0FDEA965">
      <w:pPr>
        <w:pageBreakBefore w:val="0"/>
        <w:kinsoku/>
        <w:wordWrap/>
        <w:overflowPunct/>
        <w:topLinePunct w:val="0"/>
        <w:bidi w:val="0"/>
        <w:spacing w:line="360" w:lineRule="auto"/>
        <w:ind w:left="0" w:leftChars="0" w:right="0" w:firstLine="571" w:firstLineChars="204"/>
        <w:jc w:val="both"/>
        <w:rPr>
          <w:rFonts w:hint="eastAsia" w:ascii="仿宋" w:hAnsi="仿宋" w:eastAsia="仿宋" w:cs="仿宋"/>
          <w:bCs/>
          <w:color w:val="auto"/>
          <w:sz w:val="28"/>
          <w:szCs w:val="28"/>
        </w:rPr>
      </w:pPr>
      <w:r>
        <w:rPr>
          <w:rFonts w:hint="eastAsia" w:ascii="仿宋" w:hAnsi="仿宋" w:eastAsia="仿宋" w:cs="仿宋"/>
          <w:bCs/>
          <w:color w:val="auto"/>
          <w:spacing w:val="0"/>
          <w:sz w:val="28"/>
          <w:szCs w:val="28"/>
        </w:rPr>
        <w:t>4.按照学校应对突发公共卫生事件防控要求，对楼宇公共区域、厕所、教室、浴室、开水房、电梯、垃圾箱、室外环境等区域进行定时消杀，并做好相关记录。</w:t>
      </w:r>
    </w:p>
    <w:p w14:paraId="2D321456">
      <w:pPr>
        <w:pageBreakBefore w:val="0"/>
        <w:kinsoku/>
        <w:wordWrap/>
        <w:overflowPunct/>
        <w:topLinePunct w:val="0"/>
        <w:bidi w:val="0"/>
        <w:spacing w:line="360" w:lineRule="auto"/>
        <w:ind w:left="0" w:leftChars="0" w:right="0" w:firstLine="571" w:firstLineChars="204"/>
        <w:rPr>
          <w:rFonts w:hint="eastAsia" w:ascii="仿宋" w:hAnsi="仿宋" w:eastAsia="仿宋" w:cs="仿宋"/>
          <w:bCs/>
          <w:color w:val="auto"/>
          <w:spacing w:val="0"/>
          <w:sz w:val="28"/>
          <w:szCs w:val="28"/>
        </w:rPr>
      </w:pPr>
      <w:r>
        <w:rPr>
          <w:rFonts w:hint="eastAsia" w:ascii="仿宋" w:hAnsi="仿宋" w:eastAsia="仿宋" w:cs="仿宋"/>
          <w:bCs/>
          <w:color w:val="auto"/>
          <w:spacing w:val="0"/>
          <w:sz w:val="28"/>
          <w:szCs w:val="28"/>
        </w:rPr>
        <w:t>5.做好学校要求的其他工作。</w:t>
      </w:r>
    </w:p>
    <w:p w14:paraId="13529669">
      <w:pPr>
        <w:keepNext w:val="0"/>
        <w:keepLines w:val="0"/>
        <w:pageBreakBefore w:val="0"/>
        <w:widowControl w:val="0"/>
        <w:kinsoku/>
        <w:wordWrap/>
        <w:overflowPunct/>
        <w:topLinePunct w:val="0"/>
        <w:autoSpaceDE/>
        <w:autoSpaceDN/>
        <w:bidi w:val="0"/>
        <w:adjustRightInd/>
        <w:snapToGrid/>
        <w:spacing w:line="360" w:lineRule="auto"/>
        <w:ind w:left="0" w:leftChars="0" w:right="0" w:firstLine="573" w:firstLineChars="204"/>
        <w:textAlignment w:val="auto"/>
        <w:outlineLvl w:val="2"/>
        <w:rPr>
          <w:rFonts w:hint="eastAsia" w:ascii="仿宋" w:hAnsi="仿宋" w:eastAsia="仿宋" w:cs="仿宋"/>
          <w:b/>
          <w:bCs w:val="0"/>
          <w:color w:val="auto"/>
          <w:spacing w:val="0"/>
          <w:sz w:val="28"/>
          <w:szCs w:val="28"/>
          <w:lang w:val="en-US" w:eastAsia="zh-CN"/>
        </w:rPr>
      </w:pPr>
      <w:r>
        <w:rPr>
          <w:rFonts w:hint="eastAsia" w:ascii="仿宋" w:hAnsi="仿宋" w:eastAsia="仿宋" w:cs="仿宋"/>
          <w:b/>
          <w:bCs w:val="0"/>
          <w:color w:val="auto"/>
          <w:spacing w:val="0"/>
          <w:sz w:val="28"/>
          <w:szCs w:val="28"/>
          <w:lang w:val="en-US" w:eastAsia="zh-CN"/>
        </w:rPr>
        <w:t>六、劳动教育课</w:t>
      </w:r>
    </w:p>
    <w:p w14:paraId="44BB4E3E">
      <w:pPr>
        <w:keepNext w:val="0"/>
        <w:keepLines w:val="0"/>
        <w:pageBreakBefore w:val="0"/>
        <w:widowControl w:val="0"/>
        <w:kinsoku/>
        <w:wordWrap/>
        <w:overflowPunct/>
        <w:topLinePunct w:val="0"/>
        <w:autoSpaceDE/>
        <w:autoSpaceDN/>
        <w:bidi w:val="0"/>
        <w:adjustRightInd/>
        <w:snapToGrid/>
        <w:spacing w:line="360" w:lineRule="auto"/>
        <w:ind w:left="0" w:leftChars="0" w:right="0" w:firstLine="573" w:firstLineChars="204"/>
        <w:textAlignment w:val="auto"/>
        <w:outlineLvl w:val="3"/>
        <w:rPr>
          <w:rFonts w:hint="eastAsia" w:ascii="仿宋" w:hAnsi="仿宋" w:eastAsia="仿宋" w:cs="仿宋"/>
          <w:b/>
          <w:bCs w:val="0"/>
          <w:color w:val="auto"/>
          <w:spacing w:val="0"/>
          <w:sz w:val="28"/>
          <w:szCs w:val="28"/>
          <w:lang w:val="en-US" w:eastAsia="zh-CN"/>
        </w:rPr>
      </w:pPr>
      <w:r>
        <w:rPr>
          <w:rFonts w:hint="eastAsia" w:ascii="仿宋" w:hAnsi="仿宋" w:eastAsia="仿宋" w:cs="仿宋"/>
          <w:b/>
          <w:bCs w:val="0"/>
          <w:color w:val="auto"/>
          <w:spacing w:val="0"/>
          <w:sz w:val="28"/>
          <w:szCs w:val="28"/>
          <w:lang w:val="en-US" w:eastAsia="zh-CN"/>
        </w:rPr>
        <w:t>（一）服务内容</w:t>
      </w:r>
    </w:p>
    <w:p w14:paraId="78453CE9">
      <w:pPr>
        <w:keepNext w:val="0"/>
        <w:keepLines w:val="0"/>
        <w:pageBreakBefore w:val="0"/>
        <w:widowControl w:val="0"/>
        <w:kinsoku/>
        <w:wordWrap/>
        <w:overflowPunct/>
        <w:topLinePunct w:val="0"/>
        <w:autoSpaceDE/>
        <w:autoSpaceDN/>
        <w:bidi w:val="0"/>
        <w:adjustRightInd/>
        <w:snapToGrid/>
        <w:spacing w:line="360" w:lineRule="auto"/>
        <w:ind w:left="0" w:leftChars="0" w:right="0" w:firstLine="571" w:firstLineChars="204"/>
        <w:textAlignment w:val="auto"/>
        <w:rPr>
          <w:rFonts w:hint="eastAsia" w:ascii="仿宋" w:hAnsi="仿宋" w:eastAsia="仿宋" w:cs="仿宋"/>
          <w:bCs/>
          <w:color w:val="auto"/>
          <w:spacing w:val="0"/>
          <w:sz w:val="28"/>
          <w:szCs w:val="28"/>
          <w:lang w:val="en-US" w:eastAsia="zh-CN"/>
        </w:rPr>
      </w:pPr>
      <w:r>
        <w:rPr>
          <w:rFonts w:hint="eastAsia" w:ascii="仿宋" w:hAnsi="仿宋" w:eastAsia="仿宋" w:cs="仿宋"/>
          <w:bCs/>
          <w:color w:val="auto"/>
          <w:spacing w:val="0"/>
          <w:sz w:val="28"/>
          <w:szCs w:val="28"/>
          <w:lang w:val="en-US" w:eastAsia="zh-CN"/>
        </w:rPr>
        <w:t>结合合同中约定的服务内容，配合学校开设丰富多样的劳动教育课程。课程内容包括但不限于卫生保洁、楼宇客服、公寓管理、能源管理、绿化养护、维修维护等。</w:t>
      </w:r>
    </w:p>
    <w:p w14:paraId="4F1DE923">
      <w:pPr>
        <w:keepNext w:val="0"/>
        <w:keepLines w:val="0"/>
        <w:pageBreakBefore w:val="0"/>
        <w:widowControl w:val="0"/>
        <w:kinsoku/>
        <w:wordWrap/>
        <w:overflowPunct/>
        <w:topLinePunct w:val="0"/>
        <w:autoSpaceDE/>
        <w:autoSpaceDN/>
        <w:bidi w:val="0"/>
        <w:adjustRightInd/>
        <w:snapToGrid/>
        <w:spacing w:line="360" w:lineRule="auto"/>
        <w:ind w:left="0" w:leftChars="0" w:right="0" w:firstLine="573" w:firstLineChars="204"/>
        <w:textAlignment w:val="auto"/>
        <w:outlineLvl w:val="3"/>
        <w:rPr>
          <w:rFonts w:hint="eastAsia" w:ascii="仿宋" w:hAnsi="仿宋" w:eastAsia="仿宋" w:cs="仿宋"/>
          <w:b/>
          <w:bCs w:val="0"/>
          <w:color w:val="auto"/>
          <w:spacing w:val="0"/>
          <w:sz w:val="28"/>
          <w:szCs w:val="28"/>
          <w:lang w:val="en-US" w:eastAsia="zh-CN"/>
        </w:rPr>
      </w:pPr>
      <w:r>
        <w:rPr>
          <w:rFonts w:hint="eastAsia" w:ascii="仿宋" w:hAnsi="仿宋" w:eastAsia="仿宋" w:cs="仿宋"/>
          <w:b/>
          <w:bCs w:val="0"/>
          <w:color w:val="auto"/>
          <w:spacing w:val="0"/>
          <w:sz w:val="28"/>
          <w:szCs w:val="28"/>
          <w:lang w:val="en-US" w:eastAsia="zh-CN"/>
        </w:rPr>
        <w:t>（二）服务要求</w:t>
      </w:r>
    </w:p>
    <w:p w14:paraId="516D57E7">
      <w:pPr>
        <w:keepNext w:val="0"/>
        <w:keepLines w:val="0"/>
        <w:pageBreakBefore w:val="0"/>
        <w:widowControl w:val="0"/>
        <w:kinsoku/>
        <w:wordWrap/>
        <w:overflowPunct/>
        <w:topLinePunct w:val="0"/>
        <w:autoSpaceDE/>
        <w:autoSpaceDN/>
        <w:bidi w:val="0"/>
        <w:adjustRightInd/>
        <w:snapToGrid/>
        <w:spacing w:line="360" w:lineRule="auto"/>
        <w:ind w:left="0" w:leftChars="0" w:right="0" w:firstLine="571" w:firstLineChars="204"/>
        <w:textAlignment w:val="auto"/>
        <w:rPr>
          <w:rFonts w:hint="eastAsia" w:ascii="仿宋" w:hAnsi="仿宋" w:eastAsia="仿宋" w:cs="仿宋"/>
          <w:bCs/>
          <w:color w:val="auto"/>
          <w:spacing w:val="0"/>
          <w:sz w:val="28"/>
          <w:szCs w:val="28"/>
          <w:lang w:val="en-US" w:eastAsia="zh-CN"/>
        </w:rPr>
      </w:pPr>
      <w:r>
        <w:rPr>
          <w:rFonts w:hint="eastAsia" w:ascii="仿宋" w:hAnsi="仿宋" w:eastAsia="仿宋" w:cs="仿宋"/>
          <w:bCs/>
          <w:color w:val="auto"/>
          <w:spacing w:val="0"/>
          <w:sz w:val="28"/>
          <w:szCs w:val="28"/>
          <w:lang w:val="en-US" w:eastAsia="zh-CN"/>
        </w:rPr>
        <w:t>1.制定劳动教育课程方案。</w:t>
      </w:r>
    </w:p>
    <w:p w14:paraId="08B2F181">
      <w:pPr>
        <w:keepNext w:val="0"/>
        <w:keepLines w:val="0"/>
        <w:pageBreakBefore w:val="0"/>
        <w:widowControl w:val="0"/>
        <w:kinsoku/>
        <w:wordWrap/>
        <w:overflowPunct/>
        <w:topLinePunct w:val="0"/>
        <w:autoSpaceDE/>
        <w:autoSpaceDN/>
        <w:bidi w:val="0"/>
        <w:adjustRightInd/>
        <w:snapToGrid/>
        <w:spacing w:line="360" w:lineRule="auto"/>
        <w:ind w:left="0" w:leftChars="0" w:right="0" w:firstLine="571" w:firstLineChars="204"/>
        <w:textAlignment w:val="auto"/>
        <w:rPr>
          <w:rFonts w:hint="eastAsia" w:ascii="仿宋" w:hAnsi="仿宋" w:eastAsia="仿宋" w:cs="仿宋"/>
          <w:bCs/>
          <w:color w:val="auto"/>
          <w:spacing w:val="0"/>
          <w:sz w:val="28"/>
          <w:szCs w:val="28"/>
          <w:lang w:val="en-US" w:eastAsia="zh-CN"/>
        </w:rPr>
      </w:pPr>
      <w:r>
        <w:rPr>
          <w:rFonts w:hint="eastAsia" w:ascii="仿宋" w:hAnsi="仿宋" w:eastAsia="仿宋" w:cs="仿宋"/>
          <w:bCs/>
          <w:color w:val="auto"/>
          <w:spacing w:val="0"/>
          <w:sz w:val="28"/>
          <w:szCs w:val="28"/>
          <w:lang w:val="en-US" w:eastAsia="zh-CN"/>
        </w:rPr>
        <w:t>2.建立劳动教育师资队伍。</w:t>
      </w:r>
    </w:p>
    <w:p w14:paraId="6CF6B34D">
      <w:pPr>
        <w:keepNext w:val="0"/>
        <w:keepLines w:val="0"/>
        <w:pageBreakBefore w:val="0"/>
        <w:widowControl w:val="0"/>
        <w:kinsoku/>
        <w:wordWrap/>
        <w:overflowPunct/>
        <w:topLinePunct w:val="0"/>
        <w:autoSpaceDE/>
        <w:autoSpaceDN/>
        <w:bidi w:val="0"/>
        <w:adjustRightInd/>
        <w:snapToGrid/>
        <w:spacing w:line="360" w:lineRule="auto"/>
        <w:ind w:left="0" w:leftChars="0" w:right="0" w:firstLine="571" w:firstLineChars="204"/>
        <w:textAlignment w:val="auto"/>
        <w:rPr>
          <w:rFonts w:hint="eastAsia" w:ascii="仿宋" w:hAnsi="仿宋" w:eastAsia="仿宋" w:cs="仿宋"/>
          <w:bCs/>
          <w:color w:val="auto"/>
          <w:spacing w:val="0"/>
          <w:sz w:val="28"/>
          <w:szCs w:val="28"/>
          <w:lang w:val="en-US" w:eastAsia="zh-CN"/>
        </w:rPr>
      </w:pPr>
      <w:r>
        <w:rPr>
          <w:rFonts w:hint="eastAsia" w:ascii="仿宋" w:hAnsi="仿宋" w:eastAsia="仿宋" w:cs="仿宋"/>
          <w:bCs/>
          <w:color w:val="auto"/>
          <w:spacing w:val="0"/>
          <w:sz w:val="28"/>
          <w:szCs w:val="28"/>
          <w:lang w:val="en-US" w:eastAsia="zh-CN"/>
        </w:rPr>
        <w:t>3.投入必要的设施设备、教学器材。</w:t>
      </w:r>
    </w:p>
    <w:p w14:paraId="0F289795">
      <w:pPr>
        <w:keepNext w:val="0"/>
        <w:keepLines w:val="0"/>
        <w:pageBreakBefore w:val="0"/>
        <w:widowControl w:val="0"/>
        <w:kinsoku/>
        <w:wordWrap/>
        <w:overflowPunct/>
        <w:topLinePunct w:val="0"/>
        <w:autoSpaceDE/>
        <w:autoSpaceDN/>
        <w:bidi w:val="0"/>
        <w:adjustRightInd/>
        <w:snapToGrid/>
        <w:spacing w:line="360" w:lineRule="auto"/>
        <w:ind w:left="0" w:leftChars="0" w:right="0" w:firstLine="571" w:firstLineChars="204"/>
        <w:textAlignment w:val="auto"/>
        <w:rPr>
          <w:rFonts w:hint="eastAsia" w:ascii="仿宋" w:hAnsi="仿宋" w:eastAsia="仿宋" w:cs="仿宋"/>
          <w:bCs/>
          <w:color w:val="auto"/>
          <w:spacing w:val="0"/>
          <w:sz w:val="28"/>
          <w:szCs w:val="28"/>
          <w:lang w:val="en-US" w:eastAsia="zh-CN"/>
        </w:rPr>
      </w:pPr>
      <w:r>
        <w:rPr>
          <w:rFonts w:hint="eastAsia" w:ascii="仿宋" w:hAnsi="仿宋" w:eastAsia="仿宋" w:cs="仿宋"/>
          <w:bCs/>
          <w:color w:val="auto"/>
          <w:spacing w:val="0"/>
          <w:sz w:val="28"/>
          <w:szCs w:val="28"/>
          <w:lang w:val="en-US" w:eastAsia="zh-CN"/>
        </w:rPr>
        <w:t>4.积极参与学校劳动育人基地建设。</w:t>
      </w:r>
    </w:p>
    <w:p w14:paraId="6685E4E8">
      <w:pPr>
        <w:keepNext/>
        <w:pageBreakBefore w:val="0"/>
        <w:kinsoku/>
        <w:wordWrap/>
        <w:overflowPunct/>
        <w:topLinePunct w:val="0"/>
        <w:bidi w:val="0"/>
        <w:spacing w:line="360" w:lineRule="auto"/>
        <w:ind w:left="0" w:leftChars="0" w:right="0"/>
        <w:jc w:val="both"/>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附件1：人员配备一览表</w:t>
      </w:r>
    </w:p>
    <w:tbl>
      <w:tblPr>
        <w:tblStyle w:val="54"/>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478"/>
        <w:gridCol w:w="1222"/>
        <w:gridCol w:w="3496"/>
        <w:gridCol w:w="3211"/>
      </w:tblGrid>
      <w:tr w14:paraId="7F8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noWrap w:val="0"/>
            <w:vAlign w:val="center"/>
          </w:tcPr>
          <w:p w14:paraId="754C5EBD">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序号</w:t>
            </w:r>
          </w:p>
        </w:tc>
        <w:tc>
          <w:tcPr>
            <w:tcW w:w="1478" w:type="dxa"/>
            <w:noWrap w:val="0"/>
            <w:vAlign w:val="center"/>
          </w:tcPr>
          <w:p w14:paraId="055D525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岗位名称</w:t>
            </w:r>
          </w:p>
        </w:tc>
        <w:tc>
          <w:tcPr>
            <w:tcW w:w="1222" w:type="dxa"/>
            <w:noWrap w:val="0"/>
            <w:vAlign w:val="center"/>
          </w:tcPr>
          <w:p w14:paraId="3117FB9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数量</w:t>
            </w:r>
          </w:p>
          <w:p w14:paraId="21302FEC">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（人）</w:t>
            </w:r>
          </w:p>
        </w:tc>
        <w:tc>
          <w:tcPr>
            <w:tcW w:w="3496" w:type="dxa"/>
            <w:noWrap w:val="0"/>
            <w:vAlign w:val="center"/>
          </w:tcPr>
          <w:p w14:paraId="0BF53C18">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岗位要求</w:t>
            </w:r>
          </w:p>
        </w:tc>
        <w:tc>
          <w:tcPr>
            <w:tcW w:w="3211" w:type="dxa"/>
            <w:noWrap w:val="0"/>
            <w:vAlign w:val="center"/>
          </w:tcPr>
          <w:p w14:paraId="234B6658">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证明材料要求</w:t>
            </w:r>
          </w:p>
        </w:tc>
      </w:tr>
      <w:tr w14:paraId="1A1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103C014E">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478" w:type="dxa"/>
            <w:vMerge w:val="restart"/>
            <w:noWrap w:val="0"/>
            <w:vAlign w:val="center"/>
          </w:tcPr>
          <w:p w14:paraId="64E655B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物业经理</w:t>
            </w:r>
          </w:p>
        </w:tc>
        <w:tc>
          <w:tcPr>
            <w:tcW w:w="1222" w:type="dxa"/>
            <w:vMerge w:val="restart"/>
            <w:noWrap w:val="0"/>
            <w:vAlign w:val="center"/>
          </w:tcPr>
          <w:p w14:paraId="5D039EF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noWrap w:val="0"/>
            <w:vAlign w:val="center"/>
          </w:tcPr>
          <w:p w14:paraId="30C6E5F6">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★1.为投标人在职员工；</w:t>
            </w:r>
          </w:p>
        </w:tc>
        <w:tc>
          <w:tcPr>
            <w:tcW w:w="3211" w:type="dxa"/>
            <w:shd w:val="clear" w:color="auto" w:fill="auto"/>
            <w:noWrap w:val="0"/>
            <w:vAlign w:val="center"/>
          </w:tcPr>
          <w:p w14:paraId="08A84E03">
            <w:pPr>
              <w:spacing w:line="360"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5DBF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06EB5952">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3F4A48C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68A1642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18D060C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△2.年龄在50周岁以下；</w:t>
            </w:r>
          </w:p>
        </w:tc>
        <w:tc>
          <w:tcPr>
            <w:tcW w:w="3211" w:type="dxa"/>
            <w:shd w:val="clear" w:color="auto" w:fill="auto"/>
            <w:noWrap w:val="0"/>
            <w:vAlign w:val="center"/>
          </w:tcPr>
          <w:p w14:paraId="5307C43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19B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66C4E789">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29FA304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4A7071F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0302480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△3.本科以上学历；</w:t>
            </w:r>
          </w:p>
        </w:tc>
        <w:tc>
          <w:tcPr>
            <w:tcW w:w="3211" w:type="dxa"/>
            <w:shd w:val="clear" w:color="auto" w:fill="auto"/>
            <w:noWrap w:val="0"/>
            <w:vAlign w:val="center"/>
          </w:tcPr>
          <w:p w14:paraId="4CC75AFE">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是（提供学历证明）</w:t>
            </w:r>
          </w:p>
        </w:tc>
      </w:tr>
      <w:tr w14:paraId="3E94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1D8C80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2395843E">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53DF3134">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456FEA5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△4具备中级以上职称；</w:t>
            </w:r>
          </w:p>
        </w:tc>
        <w:tc>
          <w:tcPr>
            <w:tcW w:w="3211" w:type="dxa"/>
            <w:shd w:val="clear" w:color="auto" w:fill="auto"/>
            <w:noWrap w:val="0"/>
            <w:vAlign w:val="center"/>
          </w:tcPr>
          <w:p w14:paraId="15B2EFB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是（提供职称证书）</w:t>
            </w:r>
          </w:p>
        </w:tc>
      </w:tr>
      <w:tr w14:paraId="4C4F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381714B">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3694BDF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3CE184D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088EC06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△5.具有3年以上类似项目管理经验。</w:t>
            </w:r>
          </w:p>
        </w:tc>
        <w:tc>
          <w:tcPr>
            <w:tcW w:w="3211" w:type="dxa"/>
            <w:noWrap w:val="0"/>
            <w:vAlign w:val="center"/>
          </w:tcPr>
          <w:p w14:paraId="1999C8A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4B2E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28341C6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w:t>
            </w:r>
          </w:p>
          <w:p w14:paraId="01700C1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保洁服务</w:t>
            </w:r>
          </w:p>
        </w:tc>
        <w:tc>
          <w:tcPr>
            <w:tcW w:w="1478" w:type="dxa"/>
            <w:vMerge w:val="restart"/>
            <w:noWrap w:val="0"/>
            <w:vAlign w:val="center"/>
          </w:tcPr>
          <w:p w14:paraId="0893905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保洁主管</w:t>
            </w:r>
          </w:p>
        </w:tc>
        <w:tc>
          <w:tcPr>
            <w:tcW w:w="1222" w:type="dxa"/>
            <w:vMerge w:val="restart"/>
            <w:noWrap w:val="0"/>
            <w:vAlign w:val="center"/>
          </w:tcPr>
          <w:p w14:paraId="007161CB">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noWrap w:val="0"/>
            <w:vAlign w:val="center"/>
          </w:tcPr>
          <w:p w14:paraId="31CB187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★1.为投标人在职员工；</w:t>
            </w:r>
          </w:p>
        </w:tc>
        <w:tc>
          <w:tcPr>
            <w:tcW w:w="3211" w:type="dxa"/>
            <w:noWrap w:val="0"/>
            <w:vAlign w:val="center"/>
          </w:tcPr>
          <w:p w14:paraId="28B1223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0C75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FE3F4B1">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1A7FC28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3F338E49">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0093193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△2.年龄在50周岁以下；</w:t>
            </w:r>
          </w:p>
        </w:tc>
        <w:tc>
          <w:tcPr>
            <w:tcW w:w="3211" w:type="dxa"/>
            <w:shd w:val="clear" w:color="auto" w:fill="auto"/>
            <w:noWrap w:val="0"/>
            <w:vAlign w:val="center"/>
          </w:tcPr>
          <w:p w14:paraId="1D09FE3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06DD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292AE67D">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727F06F3">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3A86533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75D899DE">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△3.具有3年以上类似项目管理经验。</w:t>
            </w:r>
          </w:p>
        </w:tc>
        <w:tc>
          <w:tcPr>
            <w:tcW w:w="3211" w:type="dxa"/>
            <w:noWrap w:val="0"/>
            <w:vAlign w:val="center"/>
          </w:tcPr>
          <w:p w14:paraId="4BC6D32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5B61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1410B67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noWrap w:val="0"/>
            <w:vAlign w:val="center"/>
          </w:tcPr>
          <w:p w14:paraId="7D89067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楼宇保洁</w:t>
            </w:r>
          </w:p>
        </w:tc>
        <w:tc>
          <w:tcPr>
            <w:tcW w:w="1222" w:type="dxa"/>
            <w:noWrap w:val="0"/>
            <w:vAlign w:val="center"/>
          </w:tcPr>
          <w:p w14:paraId="4A881034">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109</w:t>
            </w:r>
          </w:p>
        </w:tc>
        <w:tc>
          <w:tcPr>
            <w:tcW w:w="3496" w:type="dxa"/>
            <w:noWrap w:val="0"/>
            <w:vAlign w:val="center"/>
          </w:tcPr>
          <w:p w14:paraId="65A3705E">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△1.男年龄不超过63周岁，女年龄不超过58周岁，身体健康，能胜任楼宇保洁工作。</w:t>
            </w:r>
          </w:p>
        </w:tc>
        <w:tc>
          <w:tcPr>
            <w:tcW w:w="3211" w:type="dxa"/>
            <w:noWrap w:val="0"/>
            <w:vAlign w:val="center"/>
          </w:tcPr>
          <w:p w14:paraId="6E8A5B4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3977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35FEE18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noWrap w:val="0"/>
            <w:vAlign w:val="center"/>
          </w:tcPr>
          <w:p w14:paraId="70D7D5E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食堂保洁</w:t>
            </w:r>
          </w:p>
        </w:tc>
        <w:tc>
          <w:tcPr>
            <w:tcW w:w="1222" w:type="dxa"/>
            <w:noWrap w:val="0"/>
            <w:vAlign w:val="center"/>
          </w:tcPr>
          <w:p w14:paraId="3AD7571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15</w:t>
            </w:r>
          </w:p>
        </w:tc>
        <w:tc>
          <w:tcPr>
            <w:tcW w:w="3496" w:type="dxa"/>
            <w:noWrap w:val="0"/>
            <w:vAlign w:val="center"/>
          </w:tcPr>
          <w:p w14:paraId="00E1A4CE">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△1.男年龄不超过63周岁，女年龄不超过58周岁</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b w:val="0"/>
                <w:bCs/>
                <w:color w:val="auto"/>
                <w:sz w:val="28"/>
                <w:szCs w:val="28"/>
                <w:highlight w:val="none"/>
                <w:lang w:val="en-US" w:eastAsia="zh-CN"/>
              </w:rPr>
              <w:t>持健康证上岗，</w:t>
            </w:r>
            <w:r>
              <w:rPr>
                <w:rFonts w:hint="eastAsia" w:ascii="仿宋_GB2312" w:hAnsi="仿宋_GB2312" w:eastAsia="仿宋_GB2312" w:cs="仿宋_GB2312"/>
                <w:b w:val="0"/>
                <w:bCs/>
                <w:sz w:val="28"/>
                <w:szCs w:val="28"/>
                <w:lang w:val="en-US" w:eastAsia="zh-CN"/>
              </w:rPr>
              <w:t>能胜任食堂保洁工作。</w:t>
            </w:r>
          </w:p>
        </w:tc>
        <w:tc>
          <w:tcPr>
            <w:tcW w:w="3211" w:type="dxa"/>
            <w:noWrap w:val="0"/>
            <w:vAlign w:val="center"/>
          </w:tcPr>
          <w:p w14:paraId="69DBD657">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79B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451F4E5B">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59CA34FD">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0B19D5D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1B8C5CB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p>
          <w:p w14:paraId="6A698259">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秩序服务</w:t>
            </w:r>
          </w:p>
        </w:tc>
        <w:tc>
          <w:tcPr>
            <w:tcW w:w="1478" w:type="dxa"/>
            <w:vMerge w:val="restart"/>
            <w:noWrap w:val="0"/>
            <w:vAlign w:val="center"/>
          </w:tcPr>
          <w:p w14:paraId="665D88A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秩序主管</w:t>
            </w:r>
          </w:p>
        </w:tc>
        <w:tc>
          <w:tcPr>
            <w:tcW w:w="1222" w:type="dxa"/>
            <w:vMerge w:val="restart"/>
            <w:noWrap w:val="0"/>
            <w:vAlign w:val="center"/>
          </w:tcPr>
          <w:p w14:paraId="7C3F7524">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noWrap w:val="0"/>
            <w:vAlign w:val="center"/>
          </w:tcPr>
          <w:p w14:paraId="3F34334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★1.为投标人在职员工；</w:t>
            </w:r>
          </w:p>
        </w:tc>
        <w:tc>
          <w:tcPr>
            <w:tcW w:w="3211" w:type="dxa"/>
            <w:shd w:val="clear" w:color="auto" w:fill="auto"/>
            <w:noWrap w:val="0"/>
            <w:vAlign w:val="center"/>
          </w:tcPr>
          <w:p w14:paraId="605E5A6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2B3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7BA21254">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7F4DE5A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569619A6">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2C7DDDC0">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△2.年龄在50周岁以下；</w:t>
            </w:r>
          </w:p>
        </w:tc>
        <w:tc>
          <w:tcPr>
            <w:tcW w:w="3211" w:type="dxa"/>
            <w:shd w:val="clear" w:color="auto" w:fill="auto"/>
            <w:noWrap w:val="0"/>
            <w:vAlign w:val="center"/>
          </w:tcPr>
          <w:p w14:paraId="0F5A2B3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16C4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79223F8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212EE536">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2037474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624356E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△3.持有效《保安员》证；</w:t>
            </w:r>
          </w:p>
        </w:tc>
        <w:tc>
          <w:tcPr>
            <w:tcW w:w="3211" w:type="dxa"/>
            <w:shd w:val="clear" w:color="auto" w:fill="auto"/>
            <w:noWrap w:val="0"/>
            <w:vAlign w:val="center"/>
          </w:tcPr>
          <w:p w14:paraId="6F281CB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是（提供公安机关颁发的有效《保安员》证）</w:t>
            </w:r>
          </w:p>
        </w:tc>
      </w:tr>
      <w:tr w14:paraId="1D54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177618B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478" w:type="dxa"/>
            <w:vMerge w:val="continue"/>
            <w:noWrap w:val="0"/>
            <w:vAlign w:val="center"/>
          </w:tcPr>
          <w:p w14:paraId="6AD69E5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222" w:type="dxa"/>
            <w:vMerge w:val="continue"/>
            <w:noWrap w:val="0"/>
            <w:vAlign w:val="center"/>
          </w:tcPr>
          <w:p w14:paraId="5DE64B5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3496" w:type="dxa"/>
            <w:shd w:val="clear" w:color="auto" w:fill="auto"/>
            <w:noWrap w:val="0"/>
            <w:vAlign w:val="center"/>
          </w:tcPr>
          <w:p w14:paraId="42F12FBA">
            <w:pPr>
              <w:spacing w:line="360" w:lineRule="auto"/>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color w:val="auto"/>
                <w:sz w:val="28"/>
                <w:szCs w:val="28"/>
                <w:lang w:val="en-US" w:eastAsia="zh-CN"/>
              </w:rPr>
              <w:t>△4.持有建(构)筑物消防员证或消防设施操作员证；</w:t>
            </w:r>
          </w:p>
        </w:tc>
        <w:tc>
          <w:tcPr>
            <w:tcW w:w="3211" w:type="dxa"/>
            <w:shd w:val="clear" w:color="auto" w:fill="auto"/>
            <w:noWrap w:val="0"/>
            <w:vAlign w:val="center"/>
          </w:tcPr>
          <w:p w14:paraId="1CB3065D">
            <w:pPr>
              <w:spacing w:line="360" w:lineRule="auto"/>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color w:val="auto"/>
                <w:sz w:val="28"/>
                <w:szCs w:val="28"/>
                <w:lang w:val="en-US" w:eastAsia="zh-CN"/>
              </w:rPr>
              <w:t>是（提供有效的建(构)筑物消防员证或消防设施操作员证）</w:t>
            </w:r>
          </w:p>
        </w:tc>
      </w:tr>
      <w:tr w14:paraId="6129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08CFADB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693A299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36BD3B95">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5637E3F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△5.具有3年以上类似项目管理经验。</w:t>
            </w:r>
          </w:p>
        </w:tc>
        <w:tc>
          <w:tcPr>
            <w:tcW w:w="3211" w:type="dxa"/>
            <w:shd w:val="clear" w:color="auto" w:fill="auto"/>
            <w:noWrap w:val="0"/>
            <w:vAlign w:val="center"/>
          </w:tcPr>
          <w:p w14:paraId="5239510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645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4573DB2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restart"/>
            <w:noWrap w:val="0"/>
            <w:vAlign w:val="center"/>
          </w:tcPr>
          <w:p w14:paraId="2A89382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秩序维护</w:t>
            </w:r>
          </w:p>
        </w:tc>
        <w:tc>
          <w:tcPr>
            <w:tcW w:w="1222" w:type="dxa"/>
            <w:vMerge w:val="restart"/>
            <w:noWrap w:val="0"/>
            <w:vAlign w:val="center"/>
          </w:tcPr>
          <w:p w14:paraId="518D9885">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21</w:t>
            </w:r>
          </w:p>
        </w:tc>
        <w:tc>
          <w:tcPr>
            <w:tcW w:w="3496" w:type="dxa"/>
            <w:noWrap w:val="0"/>
            <w:vAlign w:val="center"/>
          </w:tcPr>
          <w:p w14:paraId="5F48316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★1.持有效《保安员》证；</w:t>
            </w:r>
          </w:p>
        </w:tc>
        <w:tc>
          <w:tcPr>
            <w:tcW w:w="3211" w:type="dxa"/>
            <w:shd w:val="clear" w:color="auto" w:fill="auto"/>
            <w:noWrap w:val="0"/>
            <w:vAlign w:val="center"/>
          </w:tcPr>
          <w:p w14:paraId="069BD22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209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6F3087A8">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2AC4F08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67102A77">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7E9DF9B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color w:val="auto"/>
                <w:kern w:val="0"/>
                <w:sz w:val="28"/>
                <w:szCs w:val="28"/>
                <w:highlight w:val="none"/>
              </w:rPr>
              <w:t>男性，</w:t>
            </w:r>
            <w:r>
              <w:rPr>
                <w:rFonts w:hint="eastAsia" w:ascii="仿宋_GB2312" w:hAnsi="仿宋_GB2312" w:eastAsia="仿宋_GB2312" w:cs="仿宋_GB2312"/>
                <w:b w:val="0"/>
                <w:bCs/>
                <w:color w:val="auto"/>
                <w:kern w:val="0"/>
                <w:sz w:val="28"/>
                <w:szCs w:val="28"/>
                <w:highlight w:val="none"/>
                <w:lang w:val="en-US" w:eastAsia="zh-CN"/>
              </w:rPr>
              <w:t>年龄</w:t>
            </w:r>
            <w:r>
              <w:rPr>
                <w:rFonts w:hint="eastAsia" w:ascii="仿宋_GB2312" w:hAnsi="仿宋_GB2312" w:eastAsia="仿宋_GB2312" w:cs="仿宋_GB2312"/>
                <w:b w:val="0"/>
                <w:bCs/>
                <w:color w:val="auto"/>
                <w:kern w:val="0"/>
                <w:sz w:val="28"/>
                <w:szCs w:val="28"/>
                <w:highlight w:val="none"/>
              </w:rPr>
              <w:t>20周岁以上，4</w:t>
            </w:r>
            <w:r>
              <w:rPr>
                <w:rFonts w:hint="eastAsia" w:ascii="仿宋_GB2312" w:hAnsi="仿宋_GB2312" w:eastAsia="仿宋_GB2312" w:cs="仿宋_GB2312"/>
                <w:b w:val="0"/>
                <w:bCs/>
                <w:color w:val="auto"/>
                <w:kern w:val="0"/>
                <w:sz w:val="28"/>
                <w:szCs w:val="28"/>
                <w:highlight w:val="none"/>
                <w:lang w:val="en-US" w:eastAsia="zh-CN"/>
              </w:rPr>
              <w:t>8</w:t>
            </w:r>
            <w:r>
              <w:rPr>
                <w:rFonts w:hint="eastAsia" w:ascii="仿宋_GB2312" w:hAnsi="仿宋_GB2312" w:eastAsia="仿宋_GB2312" w:cs="仿宋_GB2312"/>
                <w:b w:val="0"/>
                <w:bCs/>
                <w:color w:val="auto"/>
                <w:kern w:val="0"/>
                <w:sz w:val="28"/>
                <w:szCs w:val="28"/>
                <w:highlight w:val="none"/>
              </w:rPr>
              <w:t>周岁以下</w:t>
            </w:r>
            <w:r>
              <w:rPr>
                <w:rFonts w:hint="eastAsia" w:ascii="仿宋_GB2312" w:hAnsi="仿宋_GB2312" w:eastAsia="仿宋_GB2312" w:cs="仿宋_GB2312"/>
                <w:b w:val="0"/>
                <w:bCs/>
                <w:color w:val="auto"/>
                <w:kern w:val="0"/>
                <w:sz w:val="28"/>
                <w:szCs w:val="28"/>
                <w:highlight w:val="none"/>
                <w:lang w:eastAsia="zh-CN"/>
              </w:rPr>
              <w:t>；</w:t>
            </w:r>
          </w:p>
        </w:tc>
        <w:tc>
          <w:tcPr>
            <w:tcW w:w="3211" w:type="dxa"/>
            <w:shd w:val="clear" w:color="auto" w:fill="auto"/>
            <w:noWrap w:val="0"/>
            <w:vAlign w:val="center"/>
          </w:tcPr>
          <w:p w14:paraId="609263C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699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vMerge w:val="continue"/>
            <w:noWrap w:val="0"/>
            <w:vAlign w:val="center"/>
          </w:tcPr>
          <w:p w14:paraId="46B52E0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478" w:type="dxa"/>
            <w:vMerge w:val="continue"/>
            <w:noWrap w:val="0"/>
            <w:vAlign w:val="center"/>
          </w:tcPr>
          <w:p w14:paraId="40C871B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222" w:type="dxa"/>
            <w:vMerge w:val="continue"/>
            <w:noWrap w:val="0"/>
            <w:vAlign w:val="center"/>
          </w:tcPr>
          <w:p w14:paraId="29ED850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3496" w:type="dxa"/>
            <w:noWrap w:val="0"/>
            <w:vAlign w:val="center"/>
          </w:tcPr>
          <w:p w14:paraId="7CC8091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highlight w:val="none"/>
                <w:lang w:val="en-US" w:eastAsia="zh-CN"/>
              </w:rPr>
              <w:t>3.</w:t>
            </w:r>
            <w:r>
              <w:rPr>
                <w:rFonts w:hint="eastAsia" w:ascii="仿宋_GB2312" w:hAnsi="仿宋_GB2312" w:eastAsia="仿宋_GB2312" w:cs="仿宋_GB2312"/>
                <w:b w:val="0"/>
                <w:bCs/>
                <w:color w:val="auto"/>
                <w:sz w:val="28"/>
                <w:szCs w:val="28"/>
                <w:highlight w:val="none"/>
                <w:lang w:val="en-US" w:eastAsia="zh-CN"/>
              </w:rPr>
              <w:t>至少3</w:t>
            </w:r>
            <w:r>
              <w:rPr>
                <w:rFonts w:hint="eastAsia" w:ascii="仿宋_GB2312" w:hAnsi="仿宋_GB2312" w:eastAsia="仿宋_GB2312" w:cs="仿宋_GB2312"/>
                <w:b w:val="0"/>
                <w:bCs/>
                <w:color w:val="auto"/>
                <w:sz w:val="28"/>
                <w:szCs w:val="28"/>
                <w:highlight w:val="none"/>
              </w:rPr>
              <w:t>名驾驶员（</w:t>
            </w:r>
            <w:r>
              <w:rPr>
                <w:rFonts w:hint="eastAsia" w:ascii="仿宋_GB2312" w:hAnsi="仿宋_GB2312" w:eastAsia="仿宋_GB2312" w:cs="仿宋_GB2312"/>
                <w:b w:val="0"/>
                <w:bCs/>
                <w:color w:val="auto"/>
                <w:sz w:val="28"/>
                <w:szCs w:val="28"/>
                <w:highlight w:val="none"/>
                <w:lang w:eastAsia="zh-CN"/>
              </w:rPr>
              <w:t>均为</w:t>
            </w: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rPr>
              <w:t>年以上驾龄）</w:t>
            </w:r>
            <w:r>
              <w:rPr>
                <w:rFonts w:hint="eastAsia" w:ascii="仿宋_GB2312" w:hAnsi="仿宋_GB2312" w:eastAsia="仿宋_GB2312" w:cs="仿宋_GB2312"/>
                <w:b w:val="0"/>
                <w:bCs/>
                <w:color w:val="auto"/>
                <w:sz w:val="28"/>
                <w:szCs w:val="28"/>
                <w:highlight w:val="none"/>
                <w:lang w:eastAsia="zh-CN"/>
              </w:rPr>
              <w:t>。</w:t>
            </w:r>
          </w:p>
        </w:tc>
        <w:tc>
          <w:tcPr>
            <w:tcW w:w="3211" w:type="dxa"/>
            <w:shd w:val="clear" w:color="auto" w:fill="auto"/>
            <w:noWrap w:val="0"/>
            <w:vAlign w:val="center"/>
          </w:tcPr>
          <w:p w14:paraId="408098D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43C4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F76F86C">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7E95C0C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noWrap w:val="0"/>
            <w:vAlign w:val="center"/>
          </w:tcPr>
          <w:p w14:paraId="778DD095">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12</w:t>
            </w:r>
          </w:p>
        </w:tc>
        <w:tc>
          <w:tcPr>
            <w:tcW w:w="3496" w:type="dxa"/>
            <w:noWrap w:val="0"/>
            <w:vAlign w:val="center"/>
          </w:tcPr>
          <w:p w14:paraId="1D66525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△1.男年龄不超过60周岁，女年龄不超过55周岁，身体健康。</w:t>
            </w:r>
          </w:p>
        </w:tc>
        <w:tc>
          <w:tcPr>
            <w:tcW w:w="3211" w:type="dxa"/>
            <w:shd w:val="clear" w:color="auto" w:fill="auto"/>
            <w:noWrap w:val="0"/>
            <w:vAlign w:val="center"/>
          </w:tcPr>
          <w:p w14:paraId="0AF3B12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48DC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618F03C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lang w:val="en-US" w:eastAsia="zh-CN"/>
              </w:rPr>
              <w:br w:type="textWrapping"/>
            </w:r>
            <w:r>
              <w:rPr>
                <w:rFonts w:hint="eastAsia" w:ascii="仿宋_GB2312" w:hAnsi="仿宋_GB2312" w:eastAsia="仿宋_GB2312" w:cs="仿宋_GB2312"/>
                <w:b w:val="0"/>
                <w:bCs/>
                <w:sz w:val="28"/>
                <w:szCs w:val="28"/>
                <w:lang w:val="en-US" w:eastAsia="zh-CN"/>
              </w:rPr>
              <w:t>学生公寓管理</w:t>
            </w:r>
          </w:p>
        </w:tc>
        <w:tc>
          <w:tcPr>
            <w:tcW w:w="1478" w:type="dxa"/>
            <w:vMerge w:val="restart"/>
            <w:noWrap w:val="0"/>
            <w:vAlign w:val="center"/>
          </w:tcPr>
          <w:p w14:paraId="2282C4B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学生公寓主管</w:t>
            </w:r>
          </w:p>
        </w:tc>
        <w:tc>
          <w:tcPr>
            <w:tcW w:w="1222" w:type="dxa"/>
            <w:vMerge w:val="restart"/>
            <w:noWrap w:val="0"/>
            <w:vAlign w:val="center"/>
          </w:tcPr>
          <w:p w14:paraId="7BDFF9A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shd w:val="clear" w:color="auto" w:fill="auto"/>
            <w:noWrap w:val="0"/>
            <w:vAlign w:val="center"/>
          </w:tcPr>
          <w:p w14:paraId="1C199A0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★1.为投标人在职员工；</w:t>
            </w:r>
          </w:p>
        </w:tc>
        <w:tc>
          <w:tcPr>
            <w:tcW w:w="3211" w:type="dxa"/>
            <w:shd w:val="clear" w:color="auto" w:fill="auto"/>
            <w:noWrap w:val="0"/>
            <w:vAlign w:val="center"/>
          </w:tcPr>
          <w:p w14:paraId="5A0BE580">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072D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7B8E5261">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3CB4634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6A5DEC0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78C13E2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△2.年龄在50周岁以下；</w:t>
            </w:r>
          </w:p>
        </w:tc>
        <w:tc>
          <w:tcPr>
            <w:tcW w:w="3211" w:type="dxa"/>
            <w:shd w:val="clear" w:color="auto" w:fill="auto"/>
            <w:noWrap w:val="0"/>
            <w:vAlign w:val="center"/>
          </w:tcPr>
          <w:p w14:paraId="3C07519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38EC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3FD4304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7C7E1F8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74C766C2">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1C57C89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△3.具有3年及以上类似项目管理经验。</w:t>
            </w:r>
          </w:p>
        </w:tc>
        <w:tc>
          <w:tcPr>
            <w:tcW w:w="3211" w:type="dxa"/>
            <w:shd w:val="clear" w:color="auto" w:fill="auto"/>
            <w:noWrap w:val="0"/>
            <w:vAlign w:val="center"/>
          </w:tcPr>
          <w:p w14:paraId="707BE43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0917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186702C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noWrap w:val="0"/>
            <w:vAlign w:val="center"/>
          </w:tcPr>
          <w:p w14:paraId="2D14FC77">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学生公寓管理</w:t>
            </w:r>
          </w:p>
        </w:tc>
        <w:tc>
          <w:tcPr>
            <w:tcW w:w="1222" w:type="dxa"/>
            <w:noWrap w:val="0"/>
            <w:vAlign w:val="center"/>
          </w:tcPr>
          <w:p w14:paraId="48CCB86C">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35</w:t>
            </w:r>
          </w:p>
        </w:tc>
        <w:tc>
          <w:tcPr>
            <w:tcW w:w="3496" w:type="dxa"/>
            <w:shd w:val="clear" w:color="auto" w:fill="auto"/>
            <w:noWrap w:val="0"/>
            <w:vAlign w:val="center"/>
          </w:tcPr>
          <w:p w14:paraId="5DC3B28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△1.男年龄不超过63周岁，女年龄不超过58周岁，身体健康。</w:t>
            </w:r>
          </w:p>
        </w:tc>
        <w:tc>
          <w:tcPr>
            <w:tcW w:w="3211" w:type="dxa"/>
            <w:shd w:val="clear" w:color="auto" w:fill="auto"/>
            <w:noWrap w:val="0"/>
            <w:vAlign w:val="center"/>
          </w:tcPr>
          <w:p w14:paraId="399AAD8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是（提供承诺函，格式自拟）</w:t>
            </w:r>
          </w:p>
        </w:tc>
      </w:tr>
      <w:tr w14:paraId="541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0C9A8B98">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3BD5788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0032D315">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p w14:paraId="5A991678">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w:t>
            </w:r>
            <w:r>
              <w:rPr>
                <w:rFonts w:hint="eastAsia" w:ascii="仿宋_GB2312" w:hAnsi="仿宋_GB2312" w:eastAsia="仿宋_GB2312" w:cs="仿宋_GB2312"/>
                <w:b w:val="0"/>
                <w:bCs/>
                <w:sz w:val="28"/>
                <w:szCs w:val="28"/>
                <w:lang w:val="en-US" w:eastAsia="zh-CN"/>
              </w:rPr>
              <w:br w:type="textWrapping"/>
            </w:r>
            <w:r>
              <w:rPr>
                <w:rFonts w:hint="eastAsia" w:ascii="仿宋_GB2312" w:hAnsi="仿宋_GB2312" w:eastAsia="仿宋_GB2312" w:cs="仿宋_GB2312"/>
                <w:b w:val="0"/>
                <w:bCs/>
                <w:sz w:val="28"/>
                <w:szCs w:val="28"/>
                <w:lang w:val="en-US" w:eastAsia="zh-CN"/>
              </w:rPr>
              <w:t>绿化养护</w:t>
            </w:r>
          </w:p>
        </w:tc>
        <w:tc>
          <w:tcPr>
            <w:tcW w:w="1478" w:type="dxa"/>
            <w:vMerge w:val="restart"/>
            <w:noWrap w:val="0"/>
            <w:vAlign w:val="center"/>
          </w:tcPr>
          <w:p w14:paraId="18030F4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绿化主管</w:t>
            </w:r>
          </w:p>
        </w:tc>
        <w:tc>
          <w:tcPr>
            <w:tcW w:w="1222" w:type="dxa"/>
            <w:vMerge w:val="restart"/>
            <w:noWrap w:val="0"/>
            <w:vAlign w:val="center"/>
          </w:tcPr>
          <w:p w14:paraId="5694D2D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shd w:val="clear" w:color="auto" w:fill="auto"/>
            <w:noWrap w:val="0"/>
            <w:vAlign w:val="center"/>
          </w:tcPr>
          <w:p w14:paraId="5B38E4D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★1.为投标人在职员工；</w:t>
            </w:r>
          </w:p>
        </w:tc>
        <w:tc>
          <w:tcPr>
            <w:tcW w:w="3211" w:type="dxa"/>
            <w:shd w:val="clear" w:color="auto" w:fill="auto"/>
            <w:noWrap w:val="0"/>
            <w:vAlign w:val="center"/>
          </w:tcPr>
          <w:p w14:paraId="50558DC6">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1A52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3C89702A">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58FC2BE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163D2F1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0A7B612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highlight w:val="none"/>
                <w:lang w:val="en-US" w:eastAsia="zh-CN"/>
              </w:rPr>
              <w:t>△2.具备</w:t>
            </w:r>
            <w:r>
              <w:rPr>
                <w:rFonts w:hint="eastAsia" w:ascii="仿宋_GB2312" w:hAnsi="仿宋_GB2312" w:eastAsia="仿宋_GB2312" w:cs="仿宋_GB2312"/>
                <w:b w:val="0"/>
                <w:bCs/>
                <w:color w:val="auto"/>
                <w:sz w:val="28"/>
                <w:szCs w:val="28"/>
                <w:highlight w:val="none"/>
              </w:rPr>
              <w:t>园林绿化相关专业中级以上职称</w:t>
            </w:r>
            <w:r>
              <w:rPr>
                <w:rFonts w:hint="eastAsia" w:ascii="仿宋_GB2312" w:hAnsi="仿宋_GB2312" w:eastAsia="仿宋_GB2312" w:cs="仿宋_GB2312"/>
                <w:b w:val="0"/>
                <w:bCs/>
                <w:color w:val="auto"/>
                <w:sz w:val="28"/>
                <w:szCs w:val="28"/>
                <w:highlight w:val="none"/>
                <w:lang w:eastAsia="zh-CN"/>
              </w:rPr>
              <w:t>；</w:t>
            </w:r>
          </w:p>
        </w:tc>
        <w:tc>
          <w:tcPr>
            <w:tcW w:w="3211" w:type="dxa"/>
            <w:shd w:val="clear" w:color="auto" w:fill="auto"/>
            <w:noWrap w:val="0"/>
            <w:vAlign w:val="center"/>
          </w:tcPr>
          <w:p w14:paraId="15C44E2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是（提供职称证书）</w:t>
            </w:r>
          </w:p>
        </w:tc>
      </w:tr>
      <w:tr w14:paraId="0F0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7BE17FE1">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4C66A19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7B937B2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36B9846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△3.年龄在50周岁以下；</w:t>
            </w:r>
          </w:p>
        </w:tc>
        <w:tc>
          <w:tcPr>
            <w:tcW w:w="3211" w:type="dxa"/>
            <w:shd w:val="clear" w:color="auto" w:fill="auto"/>
            <w:noWrap w:val="0"/>
            <w:vAlign w:val="center"/>
          </w:tcPr>
          <w:p w14:paraId="055F407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2CC3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437EA372">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50E8913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2A56EF89">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32CD712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△4.具有3年以上园林绿化养护管理经验。</w:t>
            </w:r>
          </w:p>
        </w:tc>
        <w:tc>
          <w:tcPr>
            <w:tcW w:w="3211" w:type="dxa"/>
            <w:shd w:val="clear" w:color="auto" w:fill="auto"/>
            <w:noWrap w:val="0"/>
            <w:vAlign w:val="center"/>
          </w:tcPr>
          <w:p w14:paraId="5E97334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4225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77F8DE5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noWrap w:val="0"/>
            <w:vAlign w:val="center"/>
          </w:tcPr>
          <w:p w14:paraId="50FA1406">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花卉园艺技术员</w:t>
            </w:r>
          </w:p>
        </w:tc>
        <w:tc>
          <w:tcPr>
            <w:tcW w:w="1222" w:type="dxa"/>
            <w:noWrap w:val="0"/>
            <w:vAlign w:val="center"/>
          </w:tcPr>
          <w:p w14:paraId="1A9F7951">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shd w:val="clear" w:color="auto" w:fill="auto"/>
            <w:noWrap w:val="0"/>
            <w:vAlign w:val="center"/>
          </w:tcPr>
          <w:p w14:paraId="2214CA73">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△1.具备</w:t>
            </w:r>
            <w:r>
              <w:rPr>
                <w:rFonts w:hint="eastAsia" w:ascii="仿宋_GB2312" w:hAnsi="仿宋_GB2312" w:eastAsia="仿宋_GB2312" w:cs="仿宋_GB2312"/>
                <w:b w:val="0"/>
                <w:bCs/>
                <w:color w:val="auto"/>
                <w:sz w:val="28"/>
                <w:szCs w:val="28"/>
              </w:rPr>
              <w:t>园林绿化相关专业中级及以上职称</w:t>
            </w:r>
            <w:r>
              <w:rPr>
                <w:rFonts w:hint="eastAsia" w:ascii="仿宋_GB2312" w:hAnsi="仿宋_GB2312" w:eastAsia="仿宋_GB2312" w:cs="仿宋_GB2312"/>
                <w:b w:val="0"/>
                <w:bCs/>
                <w:color w:val="auto"/>
                <w:sz w:val="28"/>
                <w:szCs w:val="28"/>
                <w:lang w:eastAsia="zh-CN"/>
              </w:rPr>
              <w:t>。</w:t>
            </w:r>
          </w:p>
        </w:tc>
        <w:tc>
          <w:tcPr>
            <w:tcW w:w="3211" w:type="dxa"/>
            <w:shd w:val="clear" w:color="auto" w:fill="auto"/>
            <w:noWrap w:val="0"/>
            <w:vAlign w:val="center"/>
          </w:tcPr>
          <w:p w14:paraId="1FDB71CD">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是（提供职称证书或承诺函，格式自拟）</w:t>
            </w:r>
          </w:p>
        </w:tc>
      </w:tr>
      <w:tr w14:paraId="4261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1BCF5AD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noWrap w:val="0"/>
            <w:vAlign w:val="center"/>
          </w:tcPr>
          <w:p w14:paraId="0629321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绿化养护</w:t>
            </w:r>
          </w:p>
        </w:tc>
        <w:tc>
          <w:tcPr>
            <w:tcW w:w="1222" w:type="dxa"/>
            <w:noWrap w:val="0"/>
            <w:vAlign w:val="center"/>
          </w:tcPr>
          <w:p w14:paraId="3065327C">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28</w:t>
            </w:r>
          </w:p>
        </w:tc>
        <w:tc>
          <w:tcPr>
            <w:tcW w:w="3496" w:type="dxa"/>
            <w:shd w:val="clear" w:color="auto" w:fill="auto"/>
            <w:noWrap w:val="0"/>
            <w:vAlign w:val="center"/>
          </w:tcPr>
          <w:p w14:paraId="12777D9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△1.男年龄不超过63周岁，女年龄不超过58周岁，身体健康。</w:t>
            </w:r>
          </w:p>
        </w:tc>
        <w:tc>
          <w:tcPr>
            <w:tcW w:w="3211" w:type="dxa"/>
            <w:shd w:val="clear" w:color="auto" w:fill="auto"/>
            <w:noWrap w:val="0"/>
            <w:vAlign w:val="center"/>
          </w:tcPr>
          <w:p w14:paraId="2B829FC0">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是（提供承诺函，格式自拟）</w:t>
            </w:r>
          </w:p>
        </w:tc>
      </w:tr>
      <w:tr w14:paraId="2850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restart"/>
            <w:noWrap w:val="0"/>
            <w:vAlign w:val="center"/>
          </w:tcPr>
          <w:p w14:paraId="10F92042">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w:t>
            </w:r>
            <w:r>
              <w:rPr>
                <w:rFonts w:hint="eastAsia" w:ascii="仿宋_GB2312" w:hAnsi="仿宋_GB2312" w:eastAsia="仿宋_GB2312" w:cs="仿宋_GB2312"/>
                <w:b w:val="0"/>
                <w:bCs/>
                <w:sz w:val="28"/>
                <w:szCs w:val="28"/>
                <w:lang w:val="en-US" w:eastAsia="zh-CN"/>
              </w:rPr>
              <w:br w:type="textWrapping"/>
            </w:r>
            <w:r>
              <w:rPr>
                <w:rFonts w:hint="eastAsia" w:ascii="仿宋_GB2312" w:hAnsi="仿宋_GB2312" w:eastAsia="仿宋_GB2312" w:cs="仿宋_GB2312"/>
                <w:b w:val="0"/>
                <w:bCs/>
                <w:sz w:val="28"/>
                <w:szCs w:val="28"/>
                <w:lang w:val="en-US" w:eastAsia="zh-CN"/>
              </w:rPr>
              <w:t>维修维护</w:t>
            </w:r>
          </w:p>
        </w:tc>
        <w:tc>
          <w:tcPr>
            <w:tcW w:w="1478" w:type="dxa"/>
            <w:vMerge w:val="restart"/>
            <w:noWrap w:val="0"/>
            <w:vAlign w:val="center"/>
          </w:tcPr>
          <w:p w14:paraId="309FA3B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维修维护主管</w:t>
            </w:r>
          </w:p>
        </w:tc>
        <w:tc>
          <w:tcPr>
            <w:tcW w:w="1222" w:type="dxa"/>
            <w:vMerge w:val="restart"/>
            <w:noWrap w:val="0"/>
            <w:vAlign w:val="center"/>
          </w:tcPr>
          <w:p w14:paraId="1C70E7E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3496" w:type="dxa"/>
            <w:shd w:val="clear" w:color="auto" w:fill="auto"/>
            <w:noWrap w:val="0"/>
            <w:vAlign w:val="center"/>
          </w:tcPr>
          <w:p w14:paraId="6AB1409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★1.为投标人在职员工；</w:t>
            </w:r>
          </w:p>
        </w:tc>
        <w:tc>
          <w:tcPr>
            <w:tcW w:w="3211" w:type="dxa"/>
            <w:shd w:val="clear" w:color="auto" w:fill="auto"/>
            <w:noWrap w:val="0"/>
            <w:vAlign w:val="center"/>
          </w:tcPr>
          <w:p w14:paraId="782B0CC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是（提供劳动合同或2025年1月1日以来任意1个月的社保缴纳证明）</w:t>
            </w:r>
          </w:p>
        </w:tc>
      </w:tr>
      <w:tr w14:paraId="0E3D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D1A86A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32CA6B6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47D8C324">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3E65A2DB">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△2.具有</w:t>
            </w:r>
            <w:r>
              <w:rPr>
                <w:rFonts w:hint="eastAsia" w:ascii="仿宋_GB2312" w:hAnsi="仿宋_GB2312" w:eastAsia="仿宋_GB2312" w:cs="仿宋_GB2312"/>
                <w:b w:val="0"/>
                <w:bCs/>
                <w:color w:val="auto"/>
                <w:sz w:val="28"/>
                <w:szCs w:val="28"/>
                <w:lang w:val="en-US" w:eastAsia="zh-CN"/>
              </w:rPr>
              <w:t>中级以上工程类或机电类职称证书</w:t>
            </w:r>
            <w:r>
              <w:rPr>
                <w:rFonts w:hint="eastAsia" w:ascii="仿宋_GB2312" w:hAnsi="仿宋_GB2312" w:eastAsia="仿宋_GB2312" w:cs="仿宋_GB2312"/>
                <w:b w:val="0"/>
                <w:bCs/>
                <w:sz w:val="28"/>
                <w:szCs w:val="28"/>
                <w:lang w:val="en-US" w:eastAsia="zh-CN"/>
              </w:rPr>
              <w:t>；</w:t>
            </w:r>
          </w:p>
        </w:tc>
        <w:tc>
          <w:tcPr>
            <w:tcW w:w="3211" w:type="dxa"/>
            <w:noWrap w:val="0"/>
            <w:vAlign w:val="center"/>
          </w:tcPr>
          <w:p w14:paraId="086B161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是（提供职称证书）</w:t>
            </w:r>
          </w:p>
        </w:tc>
      </w:tr>
      <w:tr w14:paraId="3051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06" w:type="dxa"/>
            <w:vMerge w:val="continue"/>
            <w:noWrap w:val="0"/>
            <w:vAlign w:val="center"/>
          </w:tcPr>
          <w:p w14:paraId="05F080B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478" w:type="dxa"/>
            <w:vMerge w:val="continue"/>
            <w:noWrap w:val="0"/>
            <w:vAlign w:val="center"/>
          </w:tcPr>
          <w:p w14:paraId="04379D8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222" w:type="dxa"/>
            <w:vMerge w:val="continue"/>
            <w:noWrap w:val="0"/>
            <w:vAlign w:val="center"/>
          </w:tcPr>
          <w:p w14:paraId="51C3D7C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3496" w:type="dxa"/>
            <w:noWrap w:val="0"/>
            <w:vAlign w:val="center"/>
          </w:tcPr>
          <w:p w14:paraId="1533EA6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kern w:val="2"/>
                <w:sz w:val="28"/>
                <w:szCs w:val="28"/>
                <w:lang w:val="en-US" w:eastAsia="zh-CN" w:bidi="ar-SA"/>
              </w:rPr>
              <w:t>特种作业操作证（高压电工作业）</w:t>
            </w:r>
            <w:r>
              <w:rPr>
                <w:rFonts w:hint="eastAsia" w:ascii="仿宋_GB2312" w:hAnsi="仿宋_GB2312" w:eastAsia="仿宋_GB2312" w:cs="仿宋_GB2312"/>
                <w:b w:val="0"/>
                <w:bCs/>
                <w:sz w:val="28"/>
                <w:szCs w:val="28"/>
                <w:lang w:val="en-US" w:eastAsia="zh-CN"/>
              </w:rPr>
              <w:t>；</w:t>
            </w:r>
          </w:p>
        </w:tc>
        <w:tc>
          <w:tcPr>
            <w:tcW w:w="3211" w:type="dxa"/>
            <w:noWrap w:val="0"/>
            <w:vAlign w:val="center"/>
          </w:tcPr>
          <w:p w14:paraId="08D07C70">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是（提供证书）</w:t>
            </w:r>
          </w:p>
        </w:tc>
      </w:tr>
      <w:tr w14:paraId="3E1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06" w:type="dxa"/>
            <w:vMerge w:val="continue"/>
            <w:noWrap w:val="0"/>
            <w:vAlign w:val="center"/>
          </w:tcPr>
          <w:p w14:paraId="17626AA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478" w:type="dxa"/>
            <w:vMerge w:val="continue"/>
            <w:noWrap w:val="0"/>
            <w:vAlign w:val="center"/>
          </w:tcPr>
          <w:p w14:paraId="3B877C17">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1222" w:type="dxa"/>
            <w:vMerge w:val="continue"/>
            <w:noWrap w:val="0"/>
            <w:vAlign w:val="center"/>
          </w:tcPr>
          <w:p w14:paraId="68B4F0A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sz w:val="28"/>
                <w:szCs w:val="28"/>
              </w:rPr>
            </w:pPr>
          </w:p>
        </w:tc>
        <w:tc>
          <w:tcPr>
            <w:tcW w:w="3496" w:type="dxa"/>
            <w:noWrap w:val="0"/>
            <w:vAlign w:val="center"/>
          </w:tcPr>
          <w:p w14:paraId="18C78B95">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kern w:val="2"/>
                <w:sz w:val="28"/>
                <w:szCs w:val="28"/>
                <w:lang w:val="en-US" w:eastAsia="zh-CN" w:bidi="ar-SA"/>
              </w:rPr>
              <w:t>特种作业操作证（低压电工作业）</w:t>
            </w:r>
          </w:p>
        </w:tc>
        <w:tc>
          <w:tcPr>
            <w:tcW w:w="3211" w:type="dxa"/>
            <w:noWrap w:val="0"/>
            <w:vAlign w:val="center"/>
          </w:tcPr>
          <w:p w14:paraId="0689B89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是（提供证书）</w:t>
            </w:r>
          </w:p>
        </w:tc>
      </w:tr>
      <w:tr w14:paraId="49FA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5F1C263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030E7157">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280402E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shd w:val="clear" w:color="auto" w:fill="auto"/>
            <w:noWrap w:val="0"/>
            <w:vAlign w:val="center"/>
          </w:tcPr>
          <w:p w14:paraId="3EA2C4D4">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△5.年龄在50周岁以下；</w:t>
            </w:r>
          </w:p>
        </w:tc>
        <w:tc>
          <w:tcPr>
            <w:tcW w:w="3211" w:type="dxa"/>
            <w:shd w:val="clear" w:color="auto" w:fill="auto"/>
            <w:noWrap w:val="0"/>
            <w:vAlign w:val="center"/>
          </w:tcPr>
          <w:p w14:paraId="7E4BB13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是（提供身份证）</w:t>
            </w:r>
          </w:p>
        </w:tc>
      </w:tr>
      <w:tr w14:paraId="3DAC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0FBD3E2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5091ECBF">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vMerge w:val="continue"/>
            <w:noWrap w:val="0"/>
            <w:vAlign w:val="center"/>
          </w:tcPr>
          <w:p w14:paraId="5223C066">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3496" w:type="dxa"/>
            <w:noWrap w:val="0"/>
            <w:vAlign w:val="center"/>
          </w:tcPr>
          <w:p w14:paraId="5144108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△6.具有3年以上类似项目管理经验。</w:t>
            </w:r>
          </w:p>
        </w:tc>
        <w:tc>
          <w:tcPr>
            <w:tcW w:w="3211" w:type="dxa"/>
            <w:noWrap w:val="0"/>
            <w:vAlign w:val="center"/>
          </w:tcPr>
          <w:p w14:paraId="2A0268A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是（需提供服务合同和服务对象出具的证明材料）</w:t>
            </w:r>
          </w:p>
        </w:tc>
      </w:tr>
      <w:tr w14:paraId="6C21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326AB3A5">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restart"/>
            <w:noWrap w:val="0"/>
            <w:vAlign w:val="center"/>
          </w:tcPr>
          <w:p w14:paraId="42FB1AF8">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维修维护</w:t>
            </w:r>
          </w:p>
        </w:tc>
        <w:tc>
          <w:tcPr>
            <w:tcW w:w="1222" w:type="dxa"/>
            <w:noWrap w:val="0"/>
            <w:vAlign w:val="center"/>
          </w:tcPr>
          <w:p w14:paraId="2671076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c>
          <w:tcPr>
            <w:tcW w:w="3496" w:type="dxa"/>
            <w:shd w:val="clear" w:color="auto" w:fill="auto"/>
            <w:noWrap w:val="0"/>
            <w:vAlign w:val="center"/>
          </w:tcPr>
          <w:p w14:paraId="456E9156">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kern w:val="2"/>
                <w:sz w:val="28"/>
                <w:szCs w:val="28"/>
                <w:lang w:val="en-US" w:eastAsia="zh-CN" w:bidi="ar-SA"/>
              </w:rPr>
              <w:t>特种作业操作证（电工作业）2名、特种作业操作证（焊接与热切割）2名、特种作业操作证（高处作业）2名、特种作业操作证（制冷与空调）2名。</w:t>
            </w:r>
          </w:p>
        </w:tc>
        <w:tc>
          <w:tcPr>
            <w:tcW w:w="3211" w:type="dxa"/>
            <w:shd w:val="clear" w:color="auto" w:fill="auto"/>
            <w:noWrap w:val="0"/>
            <w:vAlign w:val="center"/>
          </w:tcPr>
          <w:p w14:paraId="0A79527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是（提供承诺函，体现工种及人数，格式自拟）</w:t>
            </w:r>
          </w:p>
        </w:tc>
      </w:tr>
      <w:tr w14:paraId="38A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3220C46C">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3843168A">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noWrap w:val="0"/>
            <w:vAlign w:val="center"/>
          </w:tcPr>
          <w:p w14:paraId="782D4E8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12</w:t>
            </w:r>
          </w:p>
        </w:tc>
        <w:tc>
          <w:tcPr>
            <w:tcW w:w="3496" w:type="dxa"/>
            <w:shd w:val="clear" w:color="auto" w:fill="auto"/>
            <w:noWrap w:val="0"/>
            <w:vAlign w:val="center"/>
          </w:tcPr>
          <w:p w14:paraId="6A230D6C">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highlight w:val="yellow"/>
                <w:lang w:val="en-US" w:eastAsia="zh-CN"/>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kern w:val="2"/>
                <w:sz w:val="28"/>
                <w:szCs w:val="28"/>
                <w:highlight w:val="none"/>
                <w:lang w:val="en-US" w:eastAsia="zh-CN" w:bidi="ar-SA"/>
              </w:rPr>
              <w:t>包括但不限于防水工2名、泥瓦工2名、粉刷工2名、油漆工2名、暖通2名、污水工2名。</w:t>
            </w:r>
          </w:p>
        </w:tc>
        <w:tc>
          <w:tcPr>
            <w:tcW w:w="3211" w:type="dxa"/>
            <w:shd w:val="clear" w:color="auto" w:fill="auto"/>
            <w:noWrap w:val="0"/>
            <w:vAlign w:val="center"/>
          </w:tcPr>
          <w:p w14:paraId="327FAD49">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是（提供承诺函，体现工种及人数，格式自拟）</w:t>
            </w:r>
          </w:p>
        </w:tc>
      </w:tr>
      <w:tr w14:paraId="69F1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dxa"/>
            <w:vMerge w:val="continue"/>
            <w:noWrap w:val="0"/>
            <w:vAlign w:val="center"/>
          </w:tcPr>
          <w:p w14:paraId="15E3CFD3">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p>
        </w:tc>
        <w:tc>
          <w:tcPr>
            <w:tcW w:w="1478" w:type="dxa"/>
            <w:vMerge w:val="continue"/>
            <w:noWrap w:val="0"/>
            <w:vAlign w:val="center"/>
          </w:tcPr>
          <w:p w14:paraId="0737E3A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1222" w:type="dxa"/>
            <w:noWrap w:val="0"/>
            <w:vAlign w:val="center"/>
          </w:tcPr>
          <w:p w14:paraId="43281DEF">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15</w:t>
            </w:r>
          </w:p>
        </w:tc>
        <w:tc>
          <w:tcPr>
            <w:tcW w:w="3496" w:type="dxa"/>
            <w:shd w:val="clear" w:color="auto" w:fill="auto"/>
            <w:noWrap w:val="0"/>
            <w:vAlign w:val="center"/>
          </w:tcPr>
          <w:p w14:paraId="05790B00">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highlight w:val="yellow"/>
                <w:lang w:val="en-US" w:eastAsia="zh-CN"/>
              </w:rPr>
            </w:pPr>
            <w:r>
              <w:rPr>
                <w:rFonts w:hint="eastAsia" w:ascii="仿宋_GB2312" w:hAnsi="仿宋_GB2312" w:eastAsia="仿宋_GB2312" w:cs="仿宋_GB2312"/>
                <w:b w:val="0"/>
                <w:bCs/>
                <w:sz w:val="28"/>
                <w:szCs w:val="28"/>
                <w:highlight w:val="none"/>
                <w:lang w:val="en-US" w:eastAsia="zh-CN"/>
              </w:rPr>
              <w:t>△1.男性，年龄不超过60周岁，身体健康，能够胜任维修工作。</w:t>
            </w:r>
          </w:p>
        </w:tc>
        <w:tc>
          <w:tcPr>
            <w:tcW w:w="3211" w:type="dxa"/>
            <w:shd w:val="clear" w:color="auto" w:fill="auto"/>
            <w:noWrap w:val="0"/>
            <w:vAlign w:val="center"/>
          </w:tcPr>
          <w:p w14:paraId="6EE2A9B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是（提供承诺函，格式自拟）</w:t>
            </w:r>
          </w:p>
        </w:tc>
      </w:tr>
      <w:tr w14:paraId="0CFC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4" w:type="dxa"/>
            <w:gridSpan w:val="2"/>
            <w:noWrap w:val="0"/>
            <w:vAlign w:val="center"/>
          </w:tcPr>
          <w:p w14:paraId="7E3227C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合计</w:t>
            </w:r>
          </w:p>
        </w:tc>
        <w:tc>
          <w:tcPr>
            <w:tcW w:w="1222" w:type="dxa"/>
            <w:noWrap w:val="0"/>
            <w:vAlign w:val="center"/>
          </w:tcPr>
          <w:p w14:paraId="6934F880">
            <w:pPr>
              <w:keepNext/>
              <w:pageBreakBefore w:val="0"/>
              <w:kinsoku/>
              <w:wordWrap/>
              <w:overflowPunct/>
              <w:topLinePunct w:val="0"/>
              <w:bidi w:val="0"/>
              <w:snapToGrid w:val="0"/>
              <w:spacing w:line="360" w:lineRule="auto"/>
              <w:ind w:left="0" w:leftChars="0" w:right="0" w:rightChars="0" w:firstLine="0" w:firstLineChars="0"/>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262</w:t>
            </w:r>
          </w:p>
        </w:tc>
        <w:tc>
          <w:tcPr>
            <w:tcW w:w="3496" w:type="dxa"/>
            <w:shd w:val="clear" w:color="auto" w:fill="auto"/>
            <w:noWrap w:val="0"/>
            <w:vAlign w:val="center"/>
          </w:tcPr>
          <w:p w14:paraId="5216E742">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c>
          <w:tcPr>
            <w:tcW w:w="3211" w:type="dxa"/>
            <w:shd w:val="clear" w:color="auto" w:fill="auto"/>
            <w:noWrap w:val="0"/>
            <w:vAlign w:val="center"/>
          </w:tcPr>
          <w:p w14:paraId="7401B8F1">
            <w:pPr>
              <w:keepNext/>
              <w:pageBreakBefore w:val="0"/>
              <w:kinsoku/>
              <w:wordWrap/>
              <w:overflowPunct/>
              <w:topLinePunct w:val="0"/>
              <w:bidi w:val="0"/>
              <w:snapToGrid w:val="0"/>
              <w:spacing w:line="360" w:lineRule="auto"/>
              <w:ind w:left="0" w:leftChars="0" w:right="0" w:rightChars="0" w:firstLine="0" w:firstLineChars="0"/>
              <w:jc w:val="left"/>
              <w:rPr>
                <w:rFonts w:hint="eastAsia" w:ascii="仿宋_GB2312" w:hAnsi="仿宋_GB2312" w:eastAsia="仿宋_GB2312" w:cs="仿宋_GB2312"/>
                <w:b w:val="0"/>
                <w:bCs/>
                <w:sz w:val="28"/>
                <w:szCs w:val="28"/>
                <w:lang w:val="en-US" w:eastAsia="zh-CN"/>
              </w:rPr>
            </w:pPr>
          </w:p>
        </w:tc>
      </w:tr>
    </w:tbl>
    <w:p w14:paraId="300CADFB">
      <w:pPr>
        <w:pStyle w:val="17"/>
        <w:pageBreakBefore w:val="0"/>
        <w:widowControl/>
        <w:tabs>
          <w:tab w:val="left" w:pos="345"/>
        </w:tabs>
        <w:kinsoku/>
        <w:wordWrap/>
        <w:overflowPunct/>
        <w:topLinePunct w:val="0"/>
        <w:bidi w:val="0"/>
        <w:spacing w:line="360" w:lineRule="auto"/>
        <w:ind w:left="0" w:leftChars="0" w:right="0" w:firstLine="0" w:firstLineChars="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注：本表数量为最小数量，投标人可根据实际情况增加。</w:t>
      </w:r>
    </w:p>
    <w:p w14:paraId="2974CB46">
      <w:pPr>
        <w:pageBreakBefore w:val="0"/>
        <w:kinsoku/>
        <w:wordWrap/>
        <w:overflowPunct/>
        <w:topLinePunct w:val="0"/>
        <w:bidi w:val="0"/>
        <w:spacing w:line="360" w:lineRule="auto"/>
        <w:ind w:left="0" w:leftChars="0" w:right="0"/>
        <w:rPr>
          <w:rFonts w:hint="eastAsia" w:ascii="仿宋" w:hAnsi="仿宋" w:eastAsia="仿宋" w:cs="仿宋"/>
          <w:sz w:val="28"/>
          <w:szCs w:val="28"/>
          <w:lang w:val="en-US" w:eastAsia="zh-CN"/>
        </w:rPr>
      </w:pPr>
    </w:p>
    <w:p w14:paraId="42E84906">
      <w:pPr>
        <w:pStyle w:val="17"/>
        <w:pageBreakBefore w:val="0"/>
        <w:widowControl/>
        <w:tabs>
          <w:tab w:val="left" w:pos="345"/>
        </w:tabs>
        <w:kinsoku/>
        <w:wordWrap/>
        <w:overflowPunct/>
        <w:topLinePunct w:val="0"/>
        <w:bidi w:val="0"/>
        <w:spacing w:line="360" w:lineRule="auto"/>
        <w:ind w:left="0" w:leftChars="0" w:right="0" w:firstLine="0" w:firstLineChars="0"/>
        <w:jc w:val="left"/>
        <w:rPr>
          <w:rFonts w:hint="eastAsia" w:ascii="仿宋" w:hAnsi="仿宋" w:eastAsia="仿宋" w:cs="仿宋"/>
          <w:bCs/>
          <w:sz w:val="28"/>
          <w:szCs w:val="28"/>
          <w:lang w:val="en-US" w:eastAsia="zh-CN"/>
        </w:rPr>
      </w:pPr>
    </w:p>
    <w:p w14:paraId="359E068B">
      <w:pPr>
        <w:pStyle w:val="17"/>
        <w:pageBreakBefore w:val="0"/>
        <w:widowControl/>
        <w:tabs>
          <w:tab w:val="left" w:pos="345"/>
        </w:tabs>
        <w:kinsoku/>
        <w:wordWrap/>
        <w:overflowPunct/>
        <w:topLinePunct w:val="0"/>
        <w:bidi w:val="0"/>
        <w:spacing w:line="360" w:lineRule="auto"/>
        <w:ind w:left="0" w:leftChars="0" w:right="0" w:firstLine="0" w:firstLineChars="0"/>
        <w:jc w:val="left"/>
        <w:outlineLvl w:val="1"/>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附件2：设备耗材一览表</w:t>
      </w:r>
    </w:p>
    <w:tbl>
      <w:tblPr>
        <w:tblStyle w:val="5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514"/>
        <w:gridCol w:w="1281"/>
        <w:gridCol w:w="2380"/>
        <w:gridCol w:w="1908"/>
      </w:tblGrid>
      <w:tr w14:paraId="7281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22E0B33E">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序号</w:t>
            </w:r>
          </w:p>
        </w:tc>
        <w:tc>
          <w:tcPr>
            <w:tcW w:w="3514" w:type="dxa"/>
            <w:vAlign w:val="center"/>
          </w:tcPr>
          <w:p w14:paraId="0F09314B">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名称</w:t>
            </w:r>
          </w:p>
        </w:tc>
        <w:tc>
          <w:tcPr>
            <w:tcW w:w="1281" w:type="dxa"/>
            <w:vAlign w:val="center"/>
          </w:tcPr>
          <w:p w14:paraId="51055475">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数量</w:t>
            </w:r>
          </w:p>
        </w:tc>
        <w:tc>
          <w:tcPr>
            <w:tcW w:w="2380" w:type="dxa"/>
            <w:vAlign w:val="center"/>
          </w:tcPr>
          <w:p w14:paraId="474A06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基本要求</w:t>
            </w:r>
          </w:p>
        </w:tc>
        <w:tc>
          <w:tcPr>
            <w:tcW w:w="1908" w:type="dxa"/>
            <w:vAlign w:val="center"/>
          </w:tcPr>
          <w:p w14:paraId="58D098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证明材料要求</w:t>
            </w:r>
          </w:p>
        </w:tc>
      </w:tr>
      <w:tr w14:paraId="2A3C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7DA1B5C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3514" w:type="dxa"/>
            <w:vAlign w:val="center"/>
          </w:tcPr>
          <w:p w14:paraId="3DE00366">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洗地机</w:t>
            </w:r>
          </w:p>
        </w:tc>
        <w:tc>
          <w:tcPr>
            <w:tcW w:w="1281" w:type="dxa"/>
            <w:vAlign w:val="center"/>
          </w:tcPr>
          <w:p w14:paraId="4F6A7876">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5辆</w:t>
            </w:r>
          </w:p>
        </w:tc>
        <w:tc>
          <w:tcPr>
            <w:tcW w:w="2380" w:type="dxa"/>
            <w:vAlign w:val="center"/>
          </w:tcPr>
          <w:p w14:paraId="5417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4AB8F8D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color w:val="000000"/>
                <w:sz w:val="24"/>
                <w:szCs w:val="24"/>
                <w:vertAlign w:val="baseline"/>
                <w:lang w:val="en-US" w:eastAsia="zh-CN"/>
              </w:rPr>
              <w:t>是（提供承诺函，格式自拟）</w:t>
            </w:r>
          </w:p>
        </w:tc>
      </w:tr>
      <w:tr w14:paraId="33C0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E9AA995">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3514" w:type="dxa"/>
            <w:vAlign w:val="center"/>
          </w:tcPr>
          <w:p w14:paraId="4ACA9874">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地毯清洗机</w:t>
            </w:r>
          </w:p>
        </w:tc>
        <w:tc>
          <w:tcPr>
            <w:tcW w:w="1281" w:type="dxa"/>
            <w:shd w:val="clear" w:color="auto" w:fill="auto"/>
            <w:vAlign w:val="center"/>
          </w:tcPr>
          <w:p w14:paraId="2DE959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TW" w:bidi="ar-SA"/>
              </w:rPr>
            </w:pPr>
            <w:r>
              <w:rPr>
                <w:rFonts w:hint="eastAsia" w:ascii="仿宋" w:hAnsi="仿宋" w:eastAsia="仿宋" w:cs="仿宋"/>
                <w:sz w:val="24"/>
                <w:szCs w:val="24"/>
                <w:lang w:val="en-US" w:eastAsia="zh-CN"/>
              </w:rPr>
              <w:t>1台</w:t>
            </w:r>
          </w:p>
        </w:tc>
        <w:tc>
          <w:tcPr>
            <w:tcW w:w="2380" w:type="dxa"/>
            <w:vAlign w:val="center"/>
          </w:tcPr>
          <w:p w14:paraId="6CDC9C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rPr>
            </w:pPr>
            <w:r>
              <w:rPr>
                <w:rFonts w:hint="eastAsia" w:ascii="仿宋" w:hAnsi="仿宋" w:eastAsia="仿宋" w:cs="仿宋"/>
                <w:color w:val="000000"/>
                <w:sz w:val="24"/>
                <w:szCs w:val="24"/>
                <w:vertAlign w:val="baseline"/>
                <w:lang w:val="en-US" w:eastAsia="zh-CN"/>
              </w:rPr>
              <w:t>/</w:t>
            </w:r>
          </w:p>
        </w:tc>
        <w:tc>
          <w:tcPr>
            <w:tcW w:w="1908" w:type="dxa"/>
            <w:vAlign w:val="center"/>
          </w:tcPr>
          <w:p w14:paraId="14ACC27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rPr>
            </w:pPr>
            <w:r>
              <w:rPr>
                <w:rFonts w:hint="eastAsia" w:ascii="仿宋" w:hAnsi="仿宋" w:eastAsia="仿宋" w:cs="仿宋"/>
                <w:color w:val="000000"/>
                <w:sz w:val="24"/>
                <w:szCs w:val="24"/>
                <w:vertAlign w:val="baseline"/>
                <w:lang w:val="en-US" w:eastAsia="zh-CN"/>
              </w:rPr>
              <w:t>是（提供承诺函，格式自拟）</w:t>
            </w:r>
          </w:p>
        </w:tc>
      </w:tr>
      <w:tr w14:paraId="0323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2436684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514" w:type="dxa"/>
            <w:vAlign w:val="center"/>
          </w:tcPr>
          <w:p w14:paraId="185E011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尘推车</w:t>
            </w:r>
          </w:p>
        </w:tc>
        <w:tc>
          <w:tcPr>
            <w:tcW w:w="1281" w:type="dxa"/>
            <w:shd w:val="clear" w:color="auto" w:fill="auto"/>
            <w:vAlign w:val="center"/>
          </w:tcPr>
          <w:p w14:paraId="507E35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lang w:val="en-US" w:eastAsia="zh-CN"/>
              </w:rPr>
              <w:t>4台</w:t>
            </w:r>
          </w:p>
        </w:tc>
        <w:tc>
          <w:tcPr>
            <w:tcW w:w="2380" w:type="dxa"/>
            <w:vAlign w:val="center"/>
          </w:tcPr>
          <w:p w14:paraId="5CF4F9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36D996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180B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shd w:val="clear" w:color="auto" w:fill="auto"/>
            <w:vAlign w:val="center"/>
          </w:tcPr>
          <w:p w14:paraId="3F8551B1">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4</w:t>
            </w:r>
          </w:p>
        </w:tc>
        <w:tc>
          <w:tcPr>
            <w:tcW w:w="3514" w:type="dxa"/>
            <w:shd w:val="clear" w:color="auto" w:fill="auto"/>
            <w:vAlign w:val="center"/>
          </w:tcPr>
          <w:p w14:paraId="64B8EE88">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吸尘器</w:t>
            </w:r>
          </w:p>
        </w:tc>
        <w:tc>
          <w:tcPr>
            <w:tcW w:w="1281" w:type="dxa"/>
            <w:shd w:val="clear" w:color="auto" w:fill="auto"/>
            <w:vAlign w:val="center"/>
          </w:tcPr>
          <w:p w14:paraId="3BA1F4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2台</w:t>
            </w:r>
          </w:p>
        </w:tc>
        <w:tc>
          <w:tcPr>
            <w:tcW w:w="2380" w:type="dxa"/>
            <w:shd w:val="clear" w:color="auto" w:fill="auto"/>
            <w:vAlign w:val="center"/>
          </w:tcPr>
          <w:p w14:paraId="148CB0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vertAlign w:val="baseline"/>
                <w:lang w:val="en-US" w:eastAsia="zh-CN"/>
              </w:rPr>
              <w:t>/</w:t>
            </w:r>
          </w:p>
        </w:tc>
        <w:tc>
          <w:tcPr>
            <w:tcW w:w="1908" w:type="dxa"/>
            <w:shd w:val="clear" w:color="auto" w:fill="auto"/>
            <w:vAlign w:val="center"/>
          </w:tcPr>
          <w:p w14:paraId="03C5443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是（提供承诺函，格式自拟）</w:t>
            </w:r>
          </w:p>
        </w:tc>
      </w:tr>
      <w:tr w14:paraId="5100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24933BD8">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3514" w:type="dxa"/>
            <w:vAlign w:val="center"/>
          </w:tcPr>
          <w:p w14:paraId="213F0304">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高压冲洗车（电动）</w:t>
            </w:r>
          </w:p>
        </w:tc>
        <w:tc>
          <w:tcPr>
            <w:tcW w:w="1281" w:type="dxa"/>
            <w:vAlign w:val="center"/>
          </w:tcPr>
          <w:p w14:paraId="710620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辆</w:t>
            </w:r>
          </w:p>
        </w:tc>
        <w:tc>
          <w:tcPr>
            <w:tcW w:w="2380" w:type="dxa"/>
            <w:vAlign w:val="center"/>
          </w:tcPr>
          <w:p w14:paraId="1060C6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罐体容积不低于700L，喷洗装置高压冲洗手枪、前左右对冲、后洒</w:t>
            </w:r>
            <w:r>
              <w:rPr>
                <w:rFonts w:hint="eastAsia" w:ascii="仿宋" w:hAnsi="仿宋" w:eastAsia="仿宋" w:cs="仿宋"/>
                <w:sz w:val="24"/>
                <w:szCs w:val="24"/>
                <w:lang w:eastAsia="zh-CN"/>
              </w:rPr>
              <w:t>。</w:t>
            </w:r>
          </w:p>
        </w:tc>
        <w:tc>
          <w:tcPr>
            <w:tcW w:w="1908" w:type="dxa"/>
            <w:vAlign w:val="center"/>
          </w:tcPr>
          <w:p w14:paraId="2742161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2F15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2197D87">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514" w:type="dxa"/>
            <w:vAlign w:val="center"/>
          </w:tcPr>
          <w:p w14:paraId="5AFE1AA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室内保洁车、柞水车、喷香机、扫地车、高压水枪等</w:t>
            </w:r>
          </w:p>
        </w:tc>
        <w:tc>
          <w:tcPr>
            <w:tcW w:w="1281" w:type="dxa"/>
            <w:vAlign w:val="center"/>
          </w:tcPr>
          <w:p w14:paraId="2DE535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满足采购人需求</w:t>
            </w:r>
          </w:p>
        </w:tc>
        <w:tc>
          <w:tcPr>
            <w:tcW w:w="2380" w:type="dxa"/>
            <w:vAlign w:val="center"/>
          </w:tcPr>
          <w:p w14:paraId="1375B2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7D6116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5466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449A1469">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514" w:type="dxa"/>
            <w:shd w:val="clear" w:color="auto" w:fill="auto"/>
            <w:vAlign w:val="center"/>
          </w:tcPr>
          <w:p w14:paraId="68C40BDD">
            <w:pPr>
              <w:pStyle w:val="4"/>
              <w:keepNext w:val="0"/>
              <w:keepLines w:val="0"/>
              <w:pageBreakBefore w:val="0"/>
              <w:kinsoku/>
              <w:wordWrap/>
              <w:overflowPunct/>
              <w:topLinePunct w:val="0"/>
              <w:autoSpaceDE/>
              <w:autoSpaceDN/>
              <w:bidi w:val="0"/>
              <w:adjustRightInd/>
              <w:snapToGrid/>
              <w:spacing w:before="0"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保洁用具（</w:t>
            </w:r>
            <w:r>
              <w:rPr>
                <w:rFonts w:hint="eastAsia" w:ascii="仿宋" w:hAnsi="仿宋" w:eastAsia="仿宋" w:cs="仿宋"/>
                <w:sz w:val="24"/>
                <w:szCs w:val="24"/>
                <w:lang w:eastAsia="zh-CN"/>
              </w:rPr>
              <w:t>拖把、</w:t>
            </w:r>
            <w:r>
              <w:rPr>
                <w:rFonts w:hint="eastAsia" w:ascii="仿宋" w:hAnsi="仿宋" w:eastAsia="仿宋" w:cs="仿宋"/>
                <w:sz w:val="24"/>
                <w:szCs w:val="24"/>
                <w:lang w:val="en-US" w:eastAsia="zh-CN"/>
              </w:rPr>
              <w:t>平板拖把组合、</w:t>
            </w:r>
            <w:r>
              <w:rPr>
                <w:rFonts w:hint="eastAsia" w:ascii="仿宋" w:hAnsi="仿宋" w:eastAsia="仿宋" w:cs="仿宋"/>
                <w:sz w:val="24"/>
                <w:szCs w:val="24"/>
                <w:lang w:eastAsia="zh-CN"/>
              </w:rPr>
              <w:t>扫把、</w:t>
            </w:r>
            <w:r>
              <w:rPr>
                <w:rFonts w:hint="eastAsia" w:ascii="仿宋" w:hAnsi="仿宋" w:eastAsia="仿宋" w:cs="仿宋"/>
                <w:sz w:val="24"/>
                <w:szCs w:val="24"/>
                <w:lang w:val="en-US" w:eastAsia="zh-CN"/>
              </w:rPr>
              <w:t>刮水器、</w:t>
            </w:r>
            <w:r>
              <w:rPr>
                <w:rFonts w:hint="eastAsia" w:ascii="仿宋" w:hAnsi="仿宋" w:eastAsia="仿宋" w:cs="仿宋"/>
                <w:sz w:val="24"/>
                <w:szCs w:val="24"/>
                <w:lang w:eastAsia="zh-CN"/>
              </w:rPr>
              <w:t>抹布、水管等清洁工具；</w:t>
            </w:r>
            <w:r>
              <w:rPr>
                <w:rFonts w:hint="eastAsia" w:ascii="仿宋" w:hAnsi="仿宋" w:eastAsia="仿宋" w:cs="仿宋"/>
                <w:sz w:val="24"/>
                <w:szCs w:val="24"/>
                <w:lang w:val="en-US" w:eastAsia="zh-CN"/>
              </w:rPr>
              <w:t>卫生间纸篓、茶叶篓、室内外垃圾桶（120L）、黑色大垃圾袋（120L）、室外垃圾桶（240L）、隔水地毯等用品；适应不同场景的清洗剂、消毒剂等。</w:t>
            </w:r>
            <w:r>
              <w:rPr>
                <w:rFonts w:hint="eastAsia" w:ascii="仿宋" w:hAnsi="仿宋" w:eastAsia="仿宋" w:cs="仿宋"/>
                <w:sz w:val="24"/>
                <w:szCs w:val="24"/>
              </w:rPr>
              <w:t>）</w:t>
            </w:r>
          </w:p>
        </w:tc>
        <w:tc>
          <w:tcPr>
            <w:tcW w:w="1281" w:type="dxa"/>
            <w:shd w:val="clear" w:color="auto" w:fill="auto"/>
            <w:vAlign w:val="center"/>
          </w:tcPr>
          <w:p w14:paraId="7F33E4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满足采购人需求</w:t>
            </w:r>
          </w:p>
        </w:tc>
        <w:tc>
          <w:tcPr>
            <w:tcW w:w="2380" w:type="dxa"/>
            <w:shd w:val="clear" w:color="auto" w:fill="auto"/>
            <w:vAlign w:val="center"/>
          </w:tcPr>
          <w:p w14:paraId="79397B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highlight w:val="none"/>
                <w:vertAlign w:val="baseline"/>
                <w:lang w:val="en-US" w:eastAsia="zh-CN"/>
              </w:rPr>
              <w:t>室内垃圾桶120L，360个；室外垃圾桶240L，260个；入场全部换新。</w:t>
            </w:r>
          </w:p>
        </w:tc>
        <w:tc>
          <w:tcPr>
            <w:tcW w:w="1908" w:type="dxa"/>
            <w:shd w:val="clear" w:color="auto" w:fill="auto"/>
            <w:vAlign w:val="center"/>
          </w:tcPr>
          <w:p w14:paraId="677B7A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是（提供承诺函，格式自拟）</w:t>
            </w:r>
          </w:p>
        </w:tc>
      </w:tr>
      <w:tr w14:paraId="0377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736463E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514" w:type="dxa"/>
            <w:shd w:val="clear" w:color="auto" w:fill="auto"/>
            <w:vAlign w:val="center"/>
          </w:tcPr>
          <w:p w14:paraId="614310A7">
            <w:pPr>
              <w:pStyle w:val="4"/>
              <w:keepNext w:val="0"/>
              <w:keepLines w:val="0"/>
              <w:pageBreakBefore w:val="0"/>
              <w:kinsoku/>
              <w:wordWrap/>
              <w:overflowPunct/>
              <w:topLinePunct w:val="0"/>
              <w:autoSpaceDE/>
              <w:autoSpaceDN/>
              <w:bidi w:val="0"/>
              <w:adjustRightInd/>
              <w:snapToGrid/>
              <w:spacing w:before="0"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食堂保洁用具（毛巾、百洁布、胶皮手套、清洁刷、刮水器、餐具运送车、水桶、拖把、水管、胶鞋、告示牌、伸缩杆、水桶、水盆、餐具清洗桶等；洗洁精、食用碱、火碱、洗洁精、洗手液、檀香、消毒液等）</w:t>
            </w:r>
          </w:p>
        </w:tc>
        <w:tc>
          <w:tcPr>
            <w:tcW w:w="1281" w:type="dxa"/>
            <w:shd w:val="clear" w:color="auto" w:fill="auto"/>
            <w:vAlign w:val="center"/>
          </w:tcPr>
          <w:p w14:paraId="156F7AF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满足采购人需求</w:t>
            </w:r>
          </w:p>
        </w:tc>
        <w:tc>
          <w:tcPr>
            <w:tcW w:w="2380" w:type="dxa"/>
            <w:shd w:val="clear" w:color="auto" w:fill="auto"/>
            <w:vAlign w:val="center"/>
          </w:tcPr>
          <w:p w14:paraId="2ED56B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highlight w:val="none"/>
                <w:vertAlign w:val="baseline"/>
                <w:lang w:val="en-US" w:eastAsia="zh-CN"/>
              </w:rPr>
              <w:t>垃圾桶（240L）15个，入场全部换新</w:t>
            </w:r>
          </w:p>
        </w:tc>
        <w:tc>
          <w:tcPr>
            <w:tcW w:w="1908" w:type="dxa"/>
            <w:shd w:val="clear" w:color="auto" w:fill="auto"/>
            <w:vAlign w:val="center"/>
          </w:tcPr>
          <w:p w14:paraId="1CE492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是（提供承诺函，格式自拟）</w:t>
            </w:r>
          </w:p>
        </w:tc>
      </w:tr>
      <w:tr w14:paraId="2DBC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24BD1C2F">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514" w:type="dxa"/>
            <w:vAlign w:val="center"/>
          </w:tcPr>
          <w:p w14:paraId="755A4CBC">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垃圾转运车</w:t>
            </w:r>
          </w:p>
        </w:tc>
        <w:tc>
          <w:tcPr>
            <w:tcW w:w="1281" w:type="dxa"/>
            <w:vAlign w:val="center"/>
          </w:tcPr>
          <w:p w14:paraId="36B9D6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辆</w:t>
            </w:r>
          </w:p>
        </w:tc>
        <w:tc>
          <w:tcPr>
            <w:tcW w:w="2380" w:type="dxa"/>
            <w:vAlign w:val="center"/>
          </w:tcPr>
          <w:p w14:paraId="2BC3CC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绿色环保</w:t>
            </w:r>
          </w:p>
        </w:tc>
        <w:tc>
          <w:tcPr>
            <w:tcW w:w="1908" w:type="dxa"/>
            <w:vAlign w:val="center"/>
          </w:tcPr>
          <w:p w14:paraId="0828F8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E75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472D07E3">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514" w:type="dxa"/>
            <w:vAlign w:val="center"/>
          </w:tcPr>
          <w:p w14:paraId="573FB947">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压缩垃圾车</w:t>
            </w:r>
          </w:p>
        </w:tc>
        <w:tc>
          <w:tcPr>
            <w:tcW w:w="1281" w:type="dxa"/>
            <w:vAlign w:val="center"/>
          </w:tcPr>
          <w:p w14:paraId="25F1CF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2辆</w:t>
            </w:r>
          </w:p>
        </w:tc>
        <w:tc>
          <w:tcPr>
            <w:tcW w:w="2380" w:type="dxa"/>
            <w:vAlign w:val="center"/>
          </w:tcPr>
          <w:p w14:paraId="13296D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绿色环保</w:t>
            </w:r>
          </w:p>
        </w:tc>
        <w:tc>
          <w:tcPr>
            <w:tcW w:w="1908" w:type="dxa"/>
            <w:vAlign w:val="center"/>
          </w:tcPr>
          <w:p w14:paraId="309028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18C3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19FEC88">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514" w:type="dxa"/>
            <w:vAlign w:val="center"/>
          </w:tcPr>
          <w:p w14:paraId="0AD82F2A">
            <w:pPr>
              <w:pStyle w:val="4"/>
              <w:keepNext w:val="0"/>
              <w:keepLines w:val="0"/>
              <w:pageBreakBefore w:val="0"/>
              <w:kinsoku/>
              <w:wordWrap/>
              <w:overflowPunct/>
              <w:topLinePunct w:val="0"/>
              <w:autoSpaceDE/>
              <w:autoSpaceDN/>
              <w:bidi w:val="0"/>
              <w:adjustRightInd/>
              <w:snapToGrid/>
              <w:spacing w:before="0"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安保工具（强光手电、T型警棍、盾牌、多功能抓捕器、防爆钢叉、防爆头盔、防刺背心、防割手套、移车器、锁车器等）</w:t>
            </w:r>
          </w:p>
        </w:tc>
        <w:tc>
          <w:tcPr>
            <w:tcW w:w="1281" w:type="dxa"/>
            <w:vAlign w:val="center"/>
          </w:tcPr>
          <w:p w14:paraId="0DD8F4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满足采购人需求</w:t>
            </w:r>
          </w:p>
        </w:tc>
        <w:tc>
          <w:tcPr>
            <w:tcW w:w="2380" w:type="dxa"/>
            <w:vAlign w:val="center"/>
          </w:tcPr>
          <w:p w14:paraId="1D2816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4A3542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2A9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2FE2112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514" w:type="dxa"/>
            <w:shd w:val="clear" w:color="auto" w:fill="auto"/>
            <w:vAlign w:val="center"/>
          </w:tcPr>
          <w:p w14:paraId="60213A0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巡逻车</w:t>
            </w:r>
          </w:p>
        </w:tc>
        <w:tc>
          <w:tcPr>
            <w:tcW w:w="1281" w:type="dxa"/>
            <w:shd w:val="clear" w:color="auto" w:fill="auto"/>
            <w:vAlign w:val="center"/>
          </w:tcPr>
          <w:p w14:paraId="490631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lang w:eastAsia="zh-CN"/>
              </w:rPr>
              <w:t>满足采购人需求</w:t>
            </w:r>
          </w:p>
        </w:tc>
        <w:tc>
          <w:tcPr>
            <w:tcW w:w="2380" w:type="dxa"/>
            <w:shd w:val="clear" w:color="auto" w:fill="auto"/>
            <w:vAlign w:val="center"/>
          </w:tcPr>
          <w:p w14:paraId="5863E8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12座四轮电动巡逻车1辆</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6人座封闭式四轮电动巡逻车1辆</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两轮电动巡逻车4辆</w:t>
            </w:r>
          </w:p>
        </w:tc>
        <w:tc>
          <w:tcPr>
            <w:tcW w:w="1908" w:type="dxa"/>
            <w:vAlign w:val="center"/>
          </w:tcPr>
          <w:p w14:paraId="4342EF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149C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672CCDB5">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514" w:type="dxa"/>
            <w:vAlign w:val="center"/>
          </w:tcPr>
          <w:p w14:paraId="57008525">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全国对讲机</w:t>
            </w:r>
          </w:p>
        </w:tc>
        <w:tc>
          <w:tcPr>
            <w:tcW w:w="1281" w:type="dxa"/>
            <w:shd w:val="clear" w:color="auto" w:fill="auto"/>
            <w:vAlign w:val="center"/>
          </w:tcPr>
          <w:p w14:paraId="63F00A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sz w:val="24"/>
                <w:szCs w:val="24"/>
                <w:lang w:val="en-US" w:eastAsia="zh-CN"/>
              </w:rPr>
              <w:t>30部</w:t>
            </w:r>
          </w:p>
        </w:tc>
        <w:tc>
          <w:tcPr>
            <w:tcW w:w="2380" w:type="dxa"/>
            <w:vAlign w:val="center"/>
          </w:tcPr>
          <w:p w14:paraId="6027D6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3A921A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6351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6C5A96D">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514" w:type="dxa"/>
            <w:vAlign w:val="center"/>
          </w:tcPr>
          <w:p w14:paraId="3B7F42BD">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执法记录仪</w:t>
            </w:r>
          </w:p>
        </w:tc>
        <w:tc>
          <w:tcPr>
            <w:tcW w:w="1281" w:type="dxa"/>
            <w:shd w:val="clear" w:color="auto" w:fill="auto"/>
            <w:vAlign w:val="center"/>
          </w:tcPr>
          <w:p w14:paraId="15CD6E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5部</w:t>
            </w:r>
          </w:p>
        </w:tc>
        <w:tc>
          <w:tcPr>
            <w:tcW w:w="2380" w:type="dxa"/>
            <w:vAlign w:val="center"/>
          </w:tcPr>
          <w:p w14:paraId="37F699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731C21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047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690C08C4">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514" w:type="dxa"/>
            <w:vAlign w:val="center"/>
          </w:tcPr>
          <w:p w14:paraId="29D6D23F">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电子巡更系统</w:t>
            </w:r>
          </w:p>
        </w:tc>
        <w:tc>
          <w:tcPr>
            <w:tcW w:w="1281" w:type="dxa"/>
            <w:vAlign w:val="center"/>
          </w:tcPr>
          <w:p w14:paraId="662599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满足采购人需求</w:t>
            </w:r>
          </w:p>
        </w:tc>
        <w:tc>
          <w:tcPr>
            <w:tcW w:w="2380" w:type="dxa"/>
            <w:vAlign w:val="center"/>
          </w:tcPr>
          <w:p w14:paraId="57DA89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电子巡更系统1套；电子巡更棒25个</w:t>
            </w:r>
          </w:p>
        </w:tc>
        <w:tc>
          <w:tcPr>
            <w:tcW w:w="1908" w:type="dxa"/>
            <w:vAlign w:val="center"/>
          </w:tcPr>
          <w:p w14:paraId="55E990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927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E9ABE4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514" w:type="dxa"/>
            <w:vAlign w:val="center"/>
          </w:tcPr>
          <w:p w14:paraId="14F1F9D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四轮草坪修剪车</w:t>
            </w:r>
          </w:p>
        </w:tc>
        <w:tc>
          <w:tcPr>
            <w:tcW w:w="1281" w:type="dxa"/>
            <w:shd w:val="clear" w:color="auto" w:fill="auto"/>
            <w:vAlign w:val="center"/>
          </w:tcPr>
          <w:p w14:paraId="4AC231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1台</w:t>
            </w:r>
          </w:p>
        </w:tc>
        <w:tc>
          <w:tcPr>
            <w:tcW w:w="2380" w:type="dxa"/>
            <w:vAlign w:val="center"/>
          </w:tcPr>
          <w:p w14:paraId="0D5ADA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6F87B7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ADC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0E6E4D31">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514" w:type="dxa"/>
            <w:vAlign w:val="center"/>
          </w:tcPr>
          <w:p w14:paraId="0525C1F2">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推草机</w:t>
            </w:r>
          </w:p>
        </w:tc>
        <w:tc>
          <w:tcPr>
            <w:tcW w:w="1281" w:type="dxa"/>
            <w:shd w:val="clear" w:color="auto" w:fill="auto"/>
            <w:vAlign w:val="center"/>
          </w:tcPr>
          <w:p w14:paraId="6678ED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6台</w:t>
            </w:r>
          </w:p>
        </w:tc>
        <w:tc>
          <w:tcPr>
            <w:tcW w:w="2380" w:type="dxa"/>
            <w:vAlign w:val="center"/>
          </w:tcPr>
          <w:p w14:paraId="12FF93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7D3740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24E8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0251539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514" w:type="dxa"/>
            <w:vAlign w:val="center"/>
          </w:tcPr>
          <w:p w14:paraId="37A923EB">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割灌机</w:t>
            </w:r>
          </w:p>
        </w:tc>
        <w:tc>
          <w:tcPr>
            <w:tcW w:w="1281" w:type="dxa"/>
            <w:shd w:val="clear" w:color="auto" w:fill="auto"/>
            <w:vAlign w:val="center"/>
          </w:tcPr>
          <w:p w14:paraId="50A83D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6台</w:t>
            </w:r>
          </w:p>
        </w:tc>
        <w:tc>
          <w:tcPr>
            <w:tcW w:w="2380" w:type="dxa"/>
            <w:vAlign w:val="center"/>
          </w:tcPr>
          <w:p w14:paraId="1CC545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5BBBA9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67B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700A85F3">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514" w:type="dxa"/>
            <w:vAlign w:val="center"/>
          </w:tcPr>
          <w:p w14:paraId="31A4F5CB">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绿篱机</w:t>
            </w:r>
          </w:p>
        </w:tc>
        <w:tc>
          <w:tcPr>
            <w:tcW w:w="1281" w:type="dxa"/>
            <w:shd w:val="clear" w:color="auto" w:fill="auto"/>
            <w:vAlign w:val="center"/>
          </w:tcPr>
          <w:p w14:paraId="06A509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6台</w:t>
            </w:r>
          </w:p>
        </w:tc>
        <w:tc>
          <w:tcPr>
            <w:tcW w:w="2380" w:type="dxa"/>
            <w:vAlign w:val="center"/>
          </w:tcPr>
          <w:p w14:paraId="1CE8FA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15AC2B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7F6B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46E1C38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514" w:type="dxa"/>
            <w:vAlign w:val="center"/>
          </w:tcPr>
          <w:p w14:paraId="3D45AC62">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油锯</w:t>
            </w:r>
          </w:p>
        </w:tc>
        <w:tc>
          <w:tcPr>
            <w:tcW w:w="1281" w:type="dxa"/>
            <w:shd w:val="clear" w:color="auto" w:fill="auto"/>
            <w:vAlign w:val="center"/>
          </w:tcPr>
          <w:p w14:paraId="2379D5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1台</w:t>
            </w:r>
          </w:p>
        </w:tc>
        <w:tc>
          <w:tcPr>
            <w:tcW w:w="2380" w:type="dxa"/>
            <w:vAlign w:val="center"/>
          </w:tcPr>
          <w:p w14:paraId="3CF2AD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2A5276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015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6E982C49">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514" w:type="dxa"/>
            <w:vAlign w:val="center"/>
          </w:tcPr>
          <w:p w14:paraId="12A1E11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草坪打孔机</w:t>
            </w:r>
          </w:p>
        </w:tc>
        <w:tc>
          <w:tcPr>
            <w:tcW w:w="1281" w:type="dxa"/>
            <w:vAlign w:val="center"/>
          </w:tcPr>
          <w:p w14:paraId="5E7DBA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Cs/>
                <w:color w:val="auto"/>
                <w:sz w:val="24"/>
                <w:szCs w:val="24"/>
                <w:lang w:val="en-US" w:eastAsia="zh-CN"/>
              </w:rPr>
              <w:t>2台</w:t>
            </w:r>
          </w:p>
        </w:tc>
        <w:tc>
          <w:tcPr>
            <w:tcW w:w="2380" w:type="dxa"/>
            <w:vAlign w:val="center"/>
          </w:tcPr>
          <w:p w14:paraId="37A933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68F811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19C3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5F1A11E2">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514" w:type="dxa"/>
            <w:vAlign w:val="center"/>
          </w:tcPr>
          <w:p w14:paraId="3F8118AE">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旋耕机</w:t>
            </w:r>
          </w:p>
        </w:tc>
        <w:tc>
          <w:tcPr>
            <w:tcW w:w="1281" w:type="dxa"/>
            <w:vAlign w:val="center"/>
          </w:tcPr>
          <w:p w14:paraId="39273A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Cs/>
                <w:color w:val="auto"/>
                <w:sz w:val="24"/>
                <w:szCs w:val="24"/>
                <w:lang w:val="en-US" w:eastAsia="zh-CN"/>
              </w:rPr>
              <w:t>1台</w:t>
            </w:r>
          </w:p>
        </w:tc>
        <w:tc>
          <w:tcPr>
            <w:tcW w:w="2380" w:type="dxa"/>
            <w:vAlign w:val="center"/>
          </w:tcPr>
          <w:p w14:paraId="3260AD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中型</w:t>
            </w:r>
          </w:p>
        </w:tc>
        <w:tc>
          <w:tcPr>
            <w:tcW w:w="1908" w:type="dxa"/>
            <w:vAlign w:val="center"/>
          </w:tcPr>
          <w:p w14:paraId="2E68A3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3CCB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59F8A7DA">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3514" w:type="dxa"/>
            <w:vAlign w:val="center"/>
          </w:tcPr>
          <w:p w14:paraId="05ED7B65">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绿化垃圾清运车</w:t>
            </w:r>
          </w:p>
        </w:tc>
        <w:tc>
          <w:tcPr>
            <w:tcW w:w="1281" w:type="dxa"/>
            <w:vAlign w:val="center"/>
          </w:tcPr>
          <w:p w14:paraId="564AE4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Cs/>
                <w:color w:val="auto"/>
                <w:sz w:val="24"/>
                <w:szCs w:val="24"/>
                <w:lang w:val="en-US" w:eastAsia="zh-CN"/>
              </w:rPr>
              <w:t>10台</w:t>
            </w:r>
          </w:p>
        </w:tc>
        <w:tc>
          <w:tcPr>
            <w:tcW w:w="2380" w:type="dxa"/>
            <w:vAlign w:val="center"/>
          </w:tcPr>
          <w:p w14:paraId="60816E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lang w:val="en-US" w:eastAsia="zh-CN"/>
              </w:rPr>
            </w:pPr>
            <w:r>
              <w:rPr>
                <w:rFonts w:hint="eastAsia" w:ascii="仿宋" w:hAnsi="仿宋" w:eastAsia="仿宋" w:cs="仿宋"/>
                <w:color w:val="000000"/>
                <w:sz w:val="24"/>
                <w:szCs w:val="24"/>
                <w:vertAlign w:val="baseline"/>
                <w:lang w:val="en-US" w:eastAsia="zh-CN"/>
              </w:rPr>
              <w:t>/</w:t>
            </w:r>
          </w:p>
        </w:tc>
        <w:tc>
          <w:tcPr>
            <w:tcW w:w="1908" w:type="dxa"/>
            <w:vAlign w:val="center"/>
          </w:tcPr>
          <w:p w14:paraId="77296C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2527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4F6E6748">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514" w:type="dxa"/>
            <w:vAlign w:val="center"/>
          </w:tcPr>
          <w:p w14:paraId="3FDAC0BC">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绿化</w:t>
            </w:r>
            <w:r>
              <w:rPr>
                <w:rFonts w:hint="eastAsia" w:ascii="仿宋" w:hAnsi="仿宋" w:eastAsia="仿宋" w:cs="仿宋"/>
                <w:sz w:val="24"/>
                <w:szCs w:val="24"/>
                <w:lang w:eastAsia="zh-CN"/>
              </w:rPr>
              <w:t>用具（</w:t>
            </w:r>
            <w:r>
              <w:rPr>
                <w:rFonts w:hint="eastAsia" w:ascii="仿宋" w:hAnsi="仿宋" w:eastAsia="仿宋" w:cs="仿宋"/>
                <w:sz w:val="24"/>
                <w:szCs w:val="24"/>
                <w:lang w:val="en-US" w:eastAsia="zh-CN"/>
              </w:rPr>
              <w:t>喷雾器、</w:t>
            </w:r>
            <w:r>
              <w:rPr>
                <w:rFonts w:hint="eastAsia" w:ascii="仿宋" w:hAnsi="仿宋" w:eastAsia="仿宋" w:cs="仿宋"/>
                <w:sz w:val="24"/>
                <w:szCs w:val="24"/>
              </w:rPr>
              <w:t>药剂</w:t>
            </w:r>
            <w:r>
              <w:rPr>
                <w:rFonts w:hint="eastAsia" w:ascii="仿宋" w:hAnsi="仿宋" w:eastAsia="仿宋" w:cs="仿宋"/>
                <w:sz w:val="24"/>
                <w:szCs w:val="24"/>
                <w:lang w:eastAsia="zh-CN"/>
              </w:rPr>
              <w:t>，</w:t>
            </w:r>
            <w:r>
              <w:rPr>
                <w:rFonts w:hint="eastAsia" w:ascii="仿宋" w:hAnsi="仿宋" w:eastAsia="仿宋" w:cs="仿宋"/>
                <w:spacing w:val="7"/>
                <w:sz w:val="24"/>
                <w:szCs w:val="24"/>
              </w:rPr>
              <w:t>化肥、手剪</w:t>
            </w:r>
            <w:r>
              <w:rPr>
                <w:rFonts w:hint="eastAsia" w:ascii="仿宋" w:hAnsi="仿宋" w:eastAsia="仿宋" w:cs="仿宋"/>
                <w:spacing w:val="7"/>
                <w:sz w:val="24"/>
                <w:szCs w:val="24"/>
                <w:lang w:eastAsia="zh-CN"/>
              </w:rPr>
              <w:t>、压钳、平剪等</w:t>
            </w:r>
            <w:r>
              <w:rPr>
                <w:rFonts w:hint="eastAsia" w:ascii="仿宋" w:hAnsi="仿宋" w:eastAsia="仿宋" w:cs="仿宋"/>
                <w:sz w:val="24"/>
                <w:szCs w:val="24"/>
                <w:lang w:eastAsia="zh-CN"/>
              </w:rPr>
              <w:t>）</w:t>
            </w:r>
          </w:p>
        </w:tc>
        <w:tc>
          <w:tcPr>
            <w:tcW w:w="1281" w:type="dxa"/>
            <w:vAlign w:val="center"/>
          </w:tcPr>
          <w:p w14:paraId="6E2F24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满足采购人需求</w:t>
            </w:r>
          </w:p>
        </w:tc>
        <w:tc>
          <w:tcPr>
            <w:tcW w:w="2380" w:type="dxa"/>
            <w:vAlign w:val="center"/>
          </w:tcPr>
          <w:p w14:paraId="1D071C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color w:val="000000"/>
                <w:sz w:val="24"/>
                <w:szCs w:val="24"/>
                <w:vertAlign w:val="baseline"/>
                <w:lang w:val="en-US" w:eastAsia="zh-CN"/>
              </w:rPr>
              <w:t>/</w:t>
            </w:r>
          </w:p>
        </w:tc>
        <w:tc>
          <w:tcPr>
            <w:tcW w:w="1908" w:type="dxa"/>
            <w:vAlign w:val="center"/>
          </w:tcPr>
          <w:p w14:paraId="236E9B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1535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6D50BE10">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514" w:type="dxa"/>
            <w:vAlign w:val="center"/>
          </w:tcPr>
          <w:p w14:paraId="20AF22D4">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高空作业车</w:t>
            </w:r>
          </w:p>
        </w:tc>
        <w:tc>
          <w:tcPr>
            <w:tcW w:w="1281" w:type="dxa"/>
            <w:vAlign w:val="center"/>
          </w:tcPr>
          <w:p w14:paraId="1032BF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color w:val="000000"/>
                <w:sz w:val="24"/>
                <w:szCs w:val="24"/>
                <w:vertAlign w:val="baseline"/>
                <w:lang w:val="en-US" w:eastAsia="zh-CN"/>
              </w:rPr>
              <w:t>1台</w:t>
            </w:r>
          </w:p>
        </w:tc>
        <w:tc>
          <w:tcPr>
            <w:tcW w:w="2380" w:type="dxa"/>
            <w:vAlign w:val="center"/>
          </w:tcPr>
          <w:p w14:paraId="5DB3EA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rPr>
            </w:pPr>
            <w:r>
              <w:rPr>
                <w:rFonts w:hint="eastAsia" w:ascii="仿宋" w:hAnsi="仿宋" w:eastAsia="仿宋" w:cs="仿宋"/>
                <w:color w:val="000000"/>
                <w:sz w:val="24"/>
                <w:szCs w:val="24"/>
                <w:vertAlign w:val="baseline"/>
                <w:lang w:val="en-US" w:eastAsia="zh-CN"/>
              </w:rPr>
              <w:t>/</w:t>
            </w:r>
          </w:p>
        </w:tc>
        <w:tc>
          <w:tcPr>
            <w:tcW w:w="1908" w:type="dxa"/>
            <w:vAlign w:val="center"/>
          </w:tcPr>
          <w:p w14:paraId="589604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r w14:paraId="608D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vAlign w:val="center"/>
          </w:tcPr>
          <w:p w14:paraId="1948CC11">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514" w:type="dxa"/>
            <w:vAlign w:val="center"/>
          </w:tcPr>
          <w:p w14:paraId="0C4F8A1F">
            <w:pPr>
              <w:pStyle w:val="4"/>
              <w:keepNext w:val="0"/>
              <w:keepLines w:val="0"/>
              <w:pageBreakBefore w:val="0"/>
              <w:kinsoku/>
              <w:wordWrap/>
              <w:overflowPunct/>
              <w:topLinePunct w:val="0"/>
              <w:autoSpaceDE/>
              <w:autoSpaceDN/>
              <w:bidi w:val="0"/>
              <w:adjustRightInd/>
              <w:snapToGrid/>
              <w:spacing w:before="0"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sz w:val="24"/>
                <w:szCs w:val="24"/>
                <w:lang w:val="en-US" w:eastAsia="zh-CN"/>
              </w:rPr>
              <w:t>维修工具（电缆故障检测仪、漏水点检测仪、电镐、电锤、切割机、电焊机、角磨机、电动扳手、热熔器、玻璃吸盘、手电钻、管道疏通机、外用表，钳子、螺丝刀、电笔等）</w:t>
            </w:r>
          </w:p>
        </w:tc>
        <w:tc>
          <w:tcPr>
            <w:tcW w:w="1281" w:type="dxa"/>
            <w:shd w:val="clear" w:color="auto" w:fill="auto"/>
            <w:vAlign w:val="center"/>
          </w:tcPr>
          <w:p w14:paraId="10591E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lang w:eastAsia="zh-CN"/>
              </w:rPr>
              <w:t>满足采购人需求</w:t>
            </w:r>
          </w:p>
        </w:tc>
        <w:tc>
          <w:tcPr>
            <w:tcW w:w="2380" w:type="dxa"/>
            <w:shd w:val="clear" w:color="auto" w:fill="auto"/>
            <w:vAlign w:val="center"/>
          </w:tcPr>
          <w:p w14:paraId="702D35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vertAlign w:val="baseline"/>
                <w:lang w:val="en-US" w:eastAsia="zh-CN"/>
              </w:rPr>
              <w:t>/</w:t>
            </w:r>
          </w:p>
        </w:tc>
        <w:tc>
          <w:tcPr>
            <w:tcW w:w="1908" w:type="dxa"/>
            <w:shd w:val="clear" w:color="auto" w:fill="auto"/>
            <w:vAlign w:val="center"/>
          </w:tcPr>
          <w:p w14:paraId="113D02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是（提供承诺函，格式自拟）</w:t>
            </w:r>
          </w:p>
        </w:tc>
      </w:tr>
    </w:tbl>
    <w:p w14:paraId="187E7D5E">
      <w:pPr>
        <w:pStyle w:val="17"/>
        <w:pageBreakBefore w:val="0"/>
        <w:widowControl/>
        <w:tabs>
          <w:tab w:val="left" w:pos="345"/>
        </w:tabs>
        <w:kinsoku/>
        <w:wordWrap/>
        <w:overflowPunct/>
        <w:topLinePunct w:val="0"/>
        <w:bidi w:val="0"/>
        <w:spacing w:line="360" w:lineRule="auto"/>
        <w:ind w:left="0" w:leftChars="0" w:right="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注：</w:t>
      </w:r>
    </w:p>
    <w:p w14:paraId="44BF6ACE">
      <w:pPr>
        <w:pStyle w:val="17"/>
        <w:pageBreakBefore w:val="0"/>
        <w:widowControl/>
        <w:tabs>
          <w:tab w:val="left" w:pos="345"/>
        </w:tabs>
        <w:kinsoku/>
        <w:wordWrap/>
        <w:overflowPunct/>
        <w:topLinePunct w:val="0"/>
        <w:bidi w:val="0"/>
        <w:spacing w:line="360" w:lineRule="auto"/>
        <w:ind w:left="0" w:leftChars="0" w:right="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1.根据采购人要求，低值耗材由供应商无偿提供。</w:t>
      </w:r>
    </w:p>
    <w:p w14:paraId="4A1DB118">
      <w:pPr>
        <w:pStyle w:val="17"/>
        <w:pageBreakBefore w:val="0"/>
        <w:widowControl/>
        <w:tabs>
          <w:tab w:val="left" w:pos="345"/>
        </w:tabs>
        <w:kinsoku/>
        <w:wordWrap/>
        <w:overflowPunct/>
        <w:topLinePunct w:val="0"/>
        <w:bidi w:val="0"/>
        <w:spacing w:line="360" w:lineRule="auto"/>
        <w:ind w:left="0" w:leftChars="0" w:right="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2.除以上设施设备外，中标人在投标文件中为管理需要添置的其他设施设备视为中标人投资，采购人不再另行支付。</w:t>
      </w:r>
    </w:p>
    <w:p w14:paraId="227A8E21">
      <w:pPr>
        <w:pStyle w:val="17"/>
        <w:pageBreakBefore w:val="0"/>
        <w:widowControl/>
        <w:tabs>
          <w:tab w:val="left" w:pos="345"/>
        </w:tabs>
        <w:kinsoku/>
        <w:wordWrap/>
        <w:overflowPunct/>
        <w:topLinePunct w:val="0"/>
        <w:bidi w:val="0"/>
        <w:spacing w:line="360" w:lineRule="auto"/>
        <w:ind w:left="0" w:leftChars="0" w:right="0" w:firstLine="560" w:firstLineChars="200"/>
        <w:jc w:val="left"/>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宣传设施设备由中标人按以下标准配置并承担相应费用，具体包括：在每栋建筑单体内设置物业管理服务内容及岗位公示牌，含本楼栋工作人员的照片和联系方式，物业管理服务投诉地址和投诉电话；物业管理日常事务需要公示通知的相关宣传设施设备制作。</w:t>
      </w:r>
    </w:p>
    <w:p w14:paraId="0F0BAE89">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黑体" w:hAnsi="黑体" w:eastAsia="黑体" w:cs="黑体"/>
          <w:b w:val="0"/>
          <w:bCs w:val="0"/>
          <w:color w:val="auto"/>
          <w:sz w:val="28"/>
          <w:szCs w:val="28"/>
          <w:highlight w:val="none"/>
          <w:u w:val="none"/>
          <w:lang w:val="en-US" w:eastAsia="zh-CN"/>
        </w:rPr>
      </w:pPr>
      <w:r>
        <w:rPr>
          <w:rFonts w:hint="eastAsia" w:ascii="黑体" w:hAnsi="黑体" w:eastAsia="黑体" w:cs="黑体"/>
          <w:b w:val="0"/>
          <w:bCs w:val="0"/>
          <w:color w:val="auto"/>
          <w:sz w:val="28"/>
          <w:szCs w:val="28"/>
          <w:highlight w:val="none"/>
          <w:u w:val="none"/>
          <w:lang w:val="en-US" w:eastAsia="zh-CN"/>
        </w:rPr>
        <w:t>三、项目相关要求</w:t>
      </w:r>
    </w:p>
    <w:p w14:paraId="47C00481">
      <w:p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1.投标人应在投标文件中提供类似业绩等证明材料。</w:t>
      </w:r>
    </w:p>
    <w:p w14:paraId="5804251A">
      <w:p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2.投标人应针对本项目提供服务承诺，包括但不限于中标后临时提供特殊设施设备、物业进驻及合同到期时的交接、特殊情况下服从采购人对服务人员的调配、对采购人不满意的物业经理或其他人员无条件更换、学校重大活动服务等方面内容。</w:t>
      </w:r>
    </w:p>
    <w:p w14:paraId="3578FA4F">
      <w:pPr>
        <w:spacing w:line="560" w:lineRule="exact"/>
        <w:ind w:firstLine="560" w:firstLineChars="200"/>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3.</w:t>
      </w:r>
      <w:r>
        <w:rPr>
          <w:rFonts w:hint="default" w:ascii="仿宋_GB2312" w:hAnsi="仿宋_GB2312" w:eastAsia="仿宋_GB2312" w:cs="仿宋_GB2312"/>
          <w:sz w:val="28"/>
          <w:szCs w:val="28"/>
          <w:lang w:val="en-US" w:eastAsia="zh-CN" w:bidi="ar"/>
        </w:rPr>
        <w:t>投标人需根据采购需求提供针对本项目的物业管理整体设想及策划方案，方案应包括：项目需求分析及设想，项目现场组织、管理机构设置、质量责任监管、监督考核机制等。</w:t>
      </w:r>
    </w:p>
    <w:p w14:paraId="6960696D">
      <w:pPr>
        <w:spacing w:line="560" w:lineRule="exact"/>
        <w:ind w:firstLine="560" w:firstLineChars="200"/>
        <w:rPr>
          <w:rFonts w:hint="eastAsia" w:ascii="仿宋_GB2312" w:hAnsi="仿宋_GB2312" w:eastAsia="仿宋_GB2312" w:cs="仿宋_GB2312"/>
          <w:sz w:val="28"/>
          <w:szCs w:val="28"/>
          <w:lang w:val="en" w:eastAsia="zh-CN" w:bidi="ar"/>
        </w:rPr>
      </w:pPr>
      <w:r>
        <w:rPr>
          <w:rFonts w:hint="eastAsia" w:ascii="仿宋_GB2312" w:hAnsi="仿宋_GB2312" w:eastAsia="仿宋_GB2312" w:cs="仿宋_GB2312"/>
          <w:sz w:val="28"/>
          <w:szCs w:val="28"/>
          <w:lang w:val="en-US" w:eastAsia="zh-CN" w:bidi="ar"/>
        </w:rPr>
        <w:t>4.投标人应结合本项目的服务范围、要求及特点，制定整体管理</w:t>
      </w:r>
      <w:r>
        <w:rPr>
          <w:rFonts w:hint="eastAsia" w:ascii="仿宋_GB2312" w:hAnsi="仿宋_GB2312" w:eastAsia="仿宋_GB2312" w:cs="仿宋_GB2312"/>
          <w:sz w:val="28"/>
          <w:szCs w:val="28"/>
          <w:lang w:val="en" w:eastAsia="zh-CN" w:bidi="ar"/>
        </w:rPr>
        <w:t>服务方案，</w:t>
      </w:r>
      <w:r>
        <w:rPr>
          <w:rFonts w:hint="eastAsia" w:ascii="仿宋_GB2312" w:hAnsi="仿宋_GB2312" w:eastAsia="仿宋_GB2312" w:cs="仿宋_GB2312"/>
          <w:sz w:val="28"/>
          <w:szCs w:val="28"/>
          <w:lang w:val="en-US" w:eastAsia="zh-CN" w:bidi="ar"/>
        </w:rPr>
        <w:t>包含但不限于保洁服务、基本大伙食堂保洁服务、维修维护服务、绿化养护服务、学生公寓管理服务、秩序维护服务、进驻、交接以及7个专项服务等</w:t>
      </w:r>
      <w:r>
        <w:rPr>
          <w:rFonts w:hint="eastAsia" w:ascii="仿宋_GB2312" w:hAnsi="仿宋_GB2312" w:eastAsia="仿宋_GB2312" w:cs="仿宋_GB2312"/>
          <w:sz w:val="28"/>
          <w:szCs w:val="28"/>
          <w:lang w:val="en" w:eastAsia="zh-CN" w:bidi="ar"/>
        </w:rPr>
        <w:t>。</w:t>
      </w:r>
    </w:p>
    <w:p w14:paraId="5A23242C">
      <w:p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5.投标人结合实际，针对本项目特点，制定人员培训方案。方案应包括但不限于：培训的时间和地点、目标方式和内容、对象、措施等。</w:t>
      </w:r>
    </w:p>
    <w:p w14:paraId="2C800D04">
      <w:p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6.投标人需针对本项目制定档案管理方案，方案至少包含档案的建立、档案的收集、档案的分类、档案的管理。</w:t>
      </w:r>
    </w:p>
    <w:p w14:paraId="7EC867E3">
      <w:p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7.投标人针对实现本项目服务目标，制定质量保证措施。质量保证措施应包括但不限于：质量管控、保证措施、质量保证制度、质量标准、检查方法等内容。</w:t>
      </w:r>
    </w:p>
    <w:p w14:paraId="2EEC14D7">
      <w:pPr>
        <w:numPr>
          <w:ilvl w:val="0"/>
          <w:numId w:val="0"/>
        </w:numPr>
        <w:spacing w:line="560" w:lineRule="exact"/>
        <w:ind w:firstLine="560" w:firstLineChars="200"/>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8.针对本项目特点，制定突发事件应急预案及处置措施：①针对迎新季、毕业季、重要会议、大型考试、运动会、全校性比赛等重大活动提供的服务保障预案；②水电气暖突发故障及事故、电梯故障及事故、高空坠落、火灾爆炸等突发事件应急预案；③食物中毒、公共事件应急预案；④雨雪极端天气、消防等自然灾害应急预案。</w:t>
      </w:r>
    </w:p>
    <w:p w14:paraId="3C6EDA3F">
      <w:pPr>
        <w:numPr>
          <w:ilvl w:val="0"/>
          <w:numId w:val="0"/>
        </w:numPr>
        <w:spacing w:line="560" w:lineRule="exact"/>
        <w:ind w:firstLine="560" w:firstLineChars="200"/>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9.投标人也可提供其他与本项目相关的内容。</w:t>
      </w:r>
    </w:p>
    <w:p w14:paraId="05BC9DF1">
      <w:pPr>
        <w:spacing w:line="560" w:lineRule="exact"/>
        <w:ind w:firstLine="560" w:firstLineChars="200"/>
        <w:rPr>
          <w:rFonts w:hint="eastAsia" w:ascii="仿宋_GB2312" w:hAnsi="仿宋_GB2312" w:eastAsia="仿宋_GB2312" w:cs="仿宋_GB2312"/>
          <w:sz w:val="28"/>
          <w:szCs w:val="28"/>
          <w:lang w:val="en-US" w:eastAsia="zh-CN" w:bidi="ar"/>
        </w:rPr>
      </w:pPr>
    </w:p>
    <w:p w14:paraId="104FCF27">
      <w:pPr>
        <w:autoSpaceDE/>
        <w:autoSpaceDN/>
        <w:adjustRightInd/>
        <w:spacing w:line="360" w:lineRule="auto"/>
        <w:ind w:firstLine="643" w:firstLineChars="200"/>
        <w:rPr>
          <w:rFonts w:hint="eastAsia"/>
        </w:rPr>
      </w:pPr>
      <w:r>
        <w:rPr>
          <w:rFonts w:hint="eastAsia" w:ascii="黑体" w:hAnsi="黑体" w:eastAsia="黑体" w:cs="黑体"/>
          <w:b/>
          <w:bCs/>
          <w:color w:val="auto"/>
          <w:sz w:val="32"/>
          <w:szCs w:val="32"/>
          <w:highlight w:val="none"/>
          <w:lang w:eastAsia="zh-CN"/>
        </w:rPr>
        <w:t>注意：以上“</w:t>
      </w:r>
      <w:r>
        <w:rPr>
          <w:rFonts w:hint="eastAsia" w:ascii="黑体" w:hAnsi="黑体" w:eastAsia="黑体" w:cs="黑体"/>
          <w:b/>
          <w:bCs/>
          <w:color w:val="auto"/>
          <w:sz w:val="32"/>
          <w:szCs w:val="32"/>
          <w:highlight w:val="none"/>
          <w:lang w:val="en-US" w:eastAsia="zh-CN"/>
        </w:rPr>
        <w:t>项目需求及有关要求</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中未加“</w:t>
      </w:r>
      <w:r>
        <w:rPr>
          <w:rFonts w:hint="eastAsia" w:ascii="黑体" w:hAnsi="黑体" w:eastAsia="黑体" w:cs="黑体"/>
          <w:color w:val="000000"/>
          <w:sz w:val="32"/>
          <w:szCs w:val="32"/>
          <w:highlight w:val="none"/>
          <w:lang w:val="en-US" w:eastAsia="zh-CN"/>
        </w:rPr>
        <w:t>★</w:t>
      </w:r>
      <w:r>
        <w:rPr>
          <w:rFonts w:hint="eastAsia" w:ascii="黑体" w:hAnsi="黑体" w:eastAsia="黑体" w:cs="黑体"/>
          <w:b/>
          <w:bCs/>
          <w:color w:val="auto"/>
          <w:sz w:val="32"/>
          <w:szCs w:val="32"/>
          <w:highlight w:val="none"/>
          <w:lang w:val="en-US" w:eastAsia="zh-CN"/>
        </w:rPr>
        <w:t>”且无法律法规明确规定的，不得作为投标被拒绝或投标无效条款</w:t>
      </w:r>
      <w:r>
        <w:rPr>
          <w:rFonts w:hint="eastAsia" w:ascii="黑体" w:hAnsi="黑体" w:eastAsia="黑体" w:cs="黑体"/>
          <w:b/>
          <w:bCs/>
          <w:color w:val="auto"/>
          <w:sz w:val="32"/>
          <w:szCs w:val="32"/>
          <w:highlight w:val="none"/>
          <w:lang w:eastAsia="zh-CN"/>
        </w:rPr>
        <w:t>。</w:t>
      </w:r>
    </w:p>
    <w:p w14:paraId="54E043FB">
      <w:pPr>
        <w:pageBreakBefore w:val="0"/>
        <w:kinsoku/>
        <w:wordWrap/>
        <w:overflowPunct/>
        <w:topLinePunct w:val="0"/>
        <w:bidi w:val="0"/>
        <w:spacing w:line="360" w:lineRule="auto"/>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6CBB36C7">
      <w:pPr>
        <w:pStyle w:val="6"/>
        <w:pageBreakBefore w:val="0"/>
        <w:wordWrap/>
        <w:topLinePunct w:val="0"/>
        <w:bidi w:val="0"/>
        <w:spacing w:before="0" w:after="0" w:line="360" w:lineRule="auto"/>
        <w:jc w:val="center"/>
        <w:rPr>
          <w:rFonts w:hint="eastAsia" w:ascii="仿宋" w:hAnsi="仿宋" w:eastAsia="仿宋" w:cs="仿宋"/>
          <w:color w:val="auto"/>
          <w:sz w:val="28"/>
          <w:szCs w:val="28"/>
          <w:lang w:eastAsia="zh-CN"/>
        </w:rPr>
      </w:pPr>
      <w:bookmarkStart w:id="572" w:name="_Toc15966"/>
      <w:r>
        <w:rPr>
          <w:rFonts w:hint="eastAsia" w:ascii="仿宋" w:hAnsi="仿宋" w:eastAsia="仿宋" w:cs="仿宋"/>
          <w:color w:val="auto"/>
          <w:sz w:val="36"/>
          <w:szCs w:val="36"/>
          <w:lang w:eastAsia="zh-CN"/>
        </w:rPr>
        <w:t>第七章 评标方法和标准</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72"/>
    </w:p>
    <w:p w14:paraId="7DCDC676">
      <w:pPr>
        <w:pageBreakBefore w:val="0"/>
        <w:wordWrap/>
        <w:topLinePunct w:val="0"/>
        <w:bidi w:val="0"/>
        <w:spacing w:line="360" w:lineRule="auto"/>
        <w:outlineLvl w:val="2"/>
        <w:rPr>
          <w:rFonts w:hint="eastAsia" w:ascii="仿宋" w:hAnsi="仿宋" w:eastAsia="仿宋" w:cs="仿宋"/>
          <w:b/>
          <w:color w:val="auto"/>
          <w:sz w:val="28"/>
          <w:szCs w:val="28"/>
          <w:lang w:eastAsia="zh-CN"/>
        </w:rPr>
      </w:pPr>
      <w:bookmarkStart w:id="573" w:name="_Toc1270934164_WPSOffice_Level2"/>
      <w:bookmarkStart w:id="574" w:name="_Toc421828923_WPSOffice_Level2"/>
      <w:bookmarkStart w:id="575" w:name="_Toc1595179162_WPSOffice_Level2"/>
      <w:bookmarkStart w:id="576" w:name="_Toc682913791_WPSOffice_Level2"/>
      <w:bookmarkStart w:id="577" w:name="_Toc2142859637_WPSOffice_Level2"/>
      <w:r>
        <w:rPr>
          <w:rFonts w:hint="eastAsia" w:ascii="仿宋" w:hAnsi="仿宋" w:eastAsia="仿宋" w:cs="仿宋"/>
          <w:b/>
          <w:color w:val="auto"/>
          <w:sz w:val="28"/>
          <w:szCs w:val="28"/>
          <w:lang w:eastAsia="zh-CN"/>
        </w:rPr>
        <w:t>一、评标方法</w:t>
      </w:r>
      <w:bookmarkEnd w:id="573"/>
      <w:bookmarkEnd w:id="574"/>
      <w:bookmarkEnd w:id="575"/>
      <w:bookmarkEnd w:id="576"/>
      <w:bookmarkEnd w:id="577"/>
    </w:p>
    <w:p w14:paraId="63EC919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采用综合评分法，总分值</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lang w:eastAsia="zh-CN"/>
        </w:rPr>
        <w:t>分。</w:t>
      </w:r>
      <w:bookmarkStart w:id="578" w:name="_Toc35230229_WPSOffice_Level2"/>
      <w:r>
        <w:rPr>
          <w:rFonts w:hint="eastAsia" w:ascii="仿宋" w:hAnsi="仿宋" w:eastAsia="仿宋" w:cs="仿宋"/>
          <w:color w:val="auto"/>
          <w:sz w:val="28"/>
          <w:szCs w:val="28"/>
          <w:lang w:eastAsia="zh-CN"/>
        </w:rPr>
        <w:t>评标委员会对各投标人的投标文件进行符合性审查、详细评审后，按评审得分由高到低顺序推荐排名。</w:t>
      </w:r>
      <w:r>
        <w:rPr>
          <w:rFonts w:hint="eastAsia" w:ascii="仿宋" w:hAnsi="仿宋" w:eastAsia="仿宋" w:cs="仿宋"/>
          <w:sz w:val="28"/>
          <w:szCs w:val="28"/>
          <w:lang w:eastAsia="zh-CN"/>
        </w:rPr>
        <w:t>评审得分相同的，</w:t>
      </w:r>
      <w:r>
        <w:rPr>
          <w:rFonts w:hint="eastAsia" w:ascii="仿宋" w:hAnsi="仿宋" w:eastAsia="仿宋" w:cs="仿宋"/>
          <w:color w:val="auto"/>
          <w:sz w:val="28"/>
          <w:szCs w:val="28"/>
          <w:lang w:eastAsia="zh-CN"/>
        </w:rPr>
        <w:t>按投标报价由低到高顺序推荐排列；</w:t>
      </w:r>
      <w:r>
        <w:rPr>
          <w:rFonts w:hint="eastAsia" w:ascii="仿宋" w:hAnsi="仿宋" w:eastAsia="仿宋" w:cs="仿宋"/>
          <w:sz w:val="28"/>
          <w:szCs w:val="28"/>
          <w:lang w:eastAsia="zh-CN"/>
        </w:rPr>
        <w:t>评审</w:t>
      </w:r>
      <w:r>
        <w:rPr>
          <w:rFonts w:hint="eastAsia" w:ascii="仿宋" w:hAnsi="仿宋" w:eastAsia="仿宋" w:cs="仿宋"/>
          <w:color w:val="auto"/>
          <w:sz w:val="28"/>
          <w:szCs w:val="28"/>
          <w:lang w:eastAsia="zh-CN"/>
        </w:rPr>
        <w:t>得分且投标报价相同的并列。</w:t>
      </w:r>
    </w:p>
    <w:bookmarkEnd w:id="578"/>
    <w:p w14:paraId="0E744DF9">
      <w:pPr>
        <w:pageBreakBefore w:val="0"/>
        <w:wordWrap/>
        <w:topLinePunct w:val="0"/>
        <w:bidi w:val="0"/>
        <w:spacing w:line="360" w:lineRule="auto"/>
        <w:outlineLvl w:val="2"/>
        <w:rPr>
          <w:rFonts w:hint="eastAsia" w:ascii="仿宋" w:hAnsi="仿宋" w:eastAsia="仿宋" w:cs="仿宋"/>
          <w:b/>
          <w:color w:val="auto"/>
          <w:sz w:val="28"/>
          <w:szCs w:val="28"/>
          <w:lang w:eastAsia="zh-CN"/>
        </w:rPr>
      </w:pPr>
      <w:bookmarkStart w:id="627" w:name="_GoBack"/>
      <w:bookmarkEnd w:id="627"/>
      <w:bookmarkStart w:id="579" w:name="_Toc333611415_WPSOffice_Level3"/>
      <w:bookmarkStart w:id="580" w:name="_Toc1165130044_WPSOffice_Level2"/>
      <w:bookmarkStart w:id="581" w:name="_Toc1410113626_WPSOffice_Level3"/>
      <w:r>
        <w:rPr>
          <w:rFonts w:hint="eastAsia" w:ascii="仿宋" w:hAnsi="仿宋" w:eastAsia="仿宋" w:cs="仿宋"/>
          <w:b/>
          <w:color w:val="auto"/>
          <w:sz w:val="28"/>
          <w:szCs w:val="28"/>
          <w:lang w:eastAsia="zh-CN"/>
        </w:rPr>
        <w:t>二、符合性审查</w:t>
      </w:r>
      <w:bookmarkEnd w:id="579"/>
      <w:bookmarkEnd w:id="580"/>
      <w:bookmarkEnd w:id="581"/>
    </w:p>
    <w:p w14:paraId="4B3489D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评标委员会对符合资格的投标人的投标文件进行符合性审查，以确定其是否满足招标文件的实质性要求。</w:t>
      </w:r>
    </w:p>
    <w:p w14:paraId="46EC07F0">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投标文件不存在雷同性（评标系统内投标文件雷同性分析，包括文件制作机器码或文件创建标识码）；</w:t>
      </w:r>
    </w:p>
    <w:p w14:paraId="41CE752F">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签字盖章签章符合招标文件要求；</w:t>
      </w:r>
    </w:p>
    <w:p w14:paraId="62C683C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3.投标有效期符合招标文件要求；</w:t>
      </w:r>
    </w:p>
    <w:p w14:paraId="65F3D63B">
      <w:pPr>
        <w:pageBreakBefore w:val="0"/>
        <w:wordWrap/>
        <w:topLinePunct w:val="0"/>
        <w:bidi w:val="0"/>
        <w:spacing w:line="360" w:lineRule="auto"/>
        <w:ind w:firstLine="560" w:firstLineChars="200"/>
        <w:rPr>
          <w:rFonts w:hint="eastAsia" w:ascii="仿宋" w:hAnsi="仿宋" w:eastAsia="仿宋" w:cs="仿宋"/>
          <w:strike/>
          <w:color w:val="auto"/>
          <w:sz w:val="28"/>
          <w:szCs w:val="28"/>
          <w:highlight w:val="yellow"/>
          <w:lang w:eastAsia="zh-CN"/>
        </w:rPr>
      </w:pPr>
      <w:r>
        <w:rPr>
          <w:rFonts w:hint="eastAsia" w:ascii="仿宋" w:hAnsi="仿宋" w:eastAsia="仿宋" w:cs="仿宋"/>
          <w:color w:val="auto"/>
          <w:sz w:val="28"/>
          <w:szCs w:val="28"/>
          <w:lang w:eastAsia="zh-CN"/>
        </w:rPr>
        <w:t>4.投标报价未超出</w:t>
      </w:r>
      <w:r>
        <w:rPr>
          <w:rFonts w:hint="eastAsia" w:ascii="仿宋" w:hAnsi="仿宋" w:eastAsia="仿宋" w:cs="仿宋"/>
          <w:color w:val="auto"/>
          <w:sz w:val="28"/>
          <w:szCs w:val="28"/>
          <w:lang w:val="en-US" w:eastAsia="zh-CN"/>
        </w:rPr>
        <w:t>最高限价</w:t>
      </w:r>
      <w:r>
        <w:rPr>
          <w:rFonts w:hint="eastAsia" w:ascii="仿宋" w:hAnsi="仿宋" w:eastAsia="仿宋" w:cs="仿宋"/>
          <w:color w:val="auto"/>
          <w:sz w:val="28"/>
          <w:szCs w:val="28"/>
          <w:lang w:eastAsia="zh-CN"/>
        </w:rPr>
        <w:t>；</w:t>
      </w:r>
    </w:p>
    <w:p w14:paraId="7F2AF4CA">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5.投标文件无重大或不可接受的偏差；</w:t>
      </w:r>
    </w:p>
    <w:p w14:paraId="57444C52">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投标文件未附有采购人不能接受的条件；</w:t>
      </w:r>
    </w:p>
    <w:p w14:paraId="1CFF136E">
      <w:pPr>
        <w:spacing w:line="360" w:lineRule="auto"/>
        <w:ind w:firstLine="560" w:firstLineChars="200"/>
        <w:rPr>
          <w:rFonts w:hint="eastAsia" w:ascii="仿宋_GB2312" w:hAnsi="仿宋_GB2312" w:eastAsia="仿宋_GB2312" w:cs="仿宋_GB2312"/>
          <w:color w:val="auto"/>
          <w:sz w:val="28"/>
          <w:szCs w:val="28"/>
          <w:lang w:val="en-US" w:eastAsia="zh-CN"/>
        </w:rPr>
      </w:pPr>
      <w:bookmarkStart w:id="582" w:name="_Toc717433308_WPSOffice_Level2"/>
      <w:r>
        <w:rPr>
          <w:rFonts w:hint="default" w:ascii="仿宋_GB2312" w:hAnsi="仿宋_GB2312" w:eastAsia="仿宋_GB2312" w:cs="仿宋_GB2312"/>
          <w:color w:val="auto"/>
          <w:sz w:val="28"/>
          <w:szCs w:val="28"/>
          <w:lang w:val="en-US" w:eastAsia="zh-CN"/>
        </w:rPr>
        <w:t>7.★代表实质性指标，不满足该指标项将导致投标被拒绝</w:t>
      </w:r>
      <w:r>
        <w:rPr>
          <w:rFonts w:hint="eastAsia" w:ascii="仿宋_GB2312" w:hAnsi="仿宋_GB2312" w:eastAsia="仿宋_GB2312" w:cs="仿宋_GB2312"/>
          <w:color w:val="auto"/>
          <w:sz w:val="28"/>
          <w:szCs w:val="28"/>
          <w:lang w:val="en-US" w:eastAsia="zh-CN"/>
        </w:rPr>
        <w:t>；</w:t>
      </w:r>
    </w:p>
    <w:p w14:paraId="70A97C68">
      <w:p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招标文件及法律法规规定的其他情形。</w:t>
      </w:r>
    </w:p>
    <w:p w14:paraId="40388071">
      <w:pPr>
        <w:pStyle w:val="2"/>
        <w:pageBreakBefore w:val="0"/>
        <w:wordWrap/>
        <w:topLinePunct w:val="0"/>
        <w:bidi w:val="0"/>
        <w:spacing w:line="360" w:lineRule="auto"/>
        <w:ind w:firstLine="562" w:firstLineChars="200"/>
        <w:jc w:val="both"/>
        <w:outlineLvl w:val="2"/>
        <w:rPr>
          <w:rFonts w:hint="eastAsia" w:ascii="仿宋" w:hAnsi="仿宋" w:eastAsia="仿宋" w:cs="仿宋"/>
          <w:b/>
          <w:color w:val="auto"/>
          <w:kern w:val="2"/>
          <w:sz w:val="28"/>
          <w:szCs w:val="28"/>
          <w:lang w:val="zh-TW"/>
        </w:rPr>
      </w:pPr>
      <w:r>
        <w:rPr>
          <w:rFonts w:hint="eastAsia" w:ascii="仿宋" w:hAnsi="仿宋" w:eastAsia="仿宋" w:cs="仿宋"/>
          <w:b/>
          <w:color w:val="auto"/>
          <w:kern w:val="2"/>
          <w:sz w:val="28"/>
          <w:szCs w:val="28"/>
          <w:lang w:val="zh-TW"/>
        </w:rPr>
        <w:t>三、详细评审</w:t>
      </w:r>
      <w:bookmarkEnd w:id="582"/>
    </w:p>
    <w:p w14:paraId="66041A5F">
      <w:pPr>
        <w:pageBreakBefore w:val="0"/>
        <w:wordWrap/>
        <w:topLinePunct w:val="0"/>
        <w:bidi w:val="0"/>
        <w:spacing w:line="360" w:lineRule="auto"/>
        <w:ind w:firstLine="562" w:firstLineChars="200"/>
        <w:rPr>
          <w:rFonts w:hint="eastAsia" w:ascii="仿宋" w:hAnsi="仿宋" w:eastAsia="仿宋" w:cs="仿宋"/>
          <w:b/>
          <w:color w:val="auto"/>
          <w:sz w:val="28"/>
          <w:szCs w:val="28"/>
          <w:lang w:eastAsia="zh-CN"/>
        </w:rPr>
      </w:pPr>
      <w:bookmarkStart w:id="583" w:name="_Toc1971336045_WPSOffice_Level3"/>
      <w:bookmarkStart w:id="584" w:name="_Toc1716909242_WPSOffice_Level3"/>
      <w:bookmarkStart w:id="585" w:name="_Toc278923003_WPSOffice_Level3"/>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lang w:eastAsia="zh-CN"/>
        </w:rPr>
        <w:t>．澄清有关问题</w:t>
      </w:r>
      <w:bookmarkEnd w:id="583"/>
      <w:bookmarkEnd w:id="584"/>
      <w:bookmarkEnd w:id="585"/>
    </w:p>
    <w:p w14:paraId="0A004E92">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55AA79F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投标人的澄清、说明或者补正不得超出投标文件的范围或者改变投标文件的实质性内容。</w:t>
      </w:r>
    </w:p>
    <w:p w14:paraId="4D4A38C9">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eastAsia="zh-CN"/>
        </w:rPr>
        <w:t>允许修正投标文件中不构成重大偏离的、微小的、非正规的、不一致或不规则的地方。</w:t>
      </w:r>
    </w:p>
    <w:p w14:paraId="21D3E02C">
      <w:pPr>
        <w:pageBreakBefore w:val="0"/>
        <w:wordWrap/>
        <w:topLinePunct w:val="0"/>
        <w:bidi w:val="0"/>
        <w:spacing w:line="360" w:lineRule="auto"/>
        <w:ind w:firstLine="562" w:firstLineChars="200"/>
        <w:rPr>
          <w:rFonts w:hint="eastAsia" w:ascii="仿宋" w:hAnsi="仿宋" w:eastAsia="仿宋" w:cs="仿宋"/>
          <w:b/>
          <w:color w:val="auto"/>
          <w:sz w:val="28"/>
          <w:szCs w:val="28"/>
          <w:lang w:eastAsia="zh-CN"/>
        </w:rPr>
      </w:pPr>
      <w:bookmarkStart w:id="586" w:name="_Toc577657209_WPSOffice_Level3"/>
      <w:bookmarkStart w:id="587" w:name="_Toc2074264070_WPSOffice_Level3"/>
      <w:bookmarkStart w:id="588" w:name="_Toc792649721_WPSOffice_Level3"/>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lang w:eastAsia="zh-CN"/>
        </w:rPr>
        <w:t>．</w:t>
      </w:r>
      <w:bookmarkEnd w:id="586"/>
      <w:bookmarkEnd w:id="587"/>
      <w:r>
        <w:rPr>
          <w:rFonts w:hint="eastAsia" w:ascii="仿宋" w:hAnsi="仿宋" w:eastAsia="仿宋" w:cs="仿宋"/>
          <w:b/>
          <w:color w:val="auto"/>
          <w:sz w:val="28"/>
          <w:szCs w:val="28"/>
          <w:lang w:eastAsia="zh-CN"/>
        </w:rPr>
        <w:t>综合比较与评价</w:t>
      </w:r>
      <w:bookmarkEnd w:id="588"/>
    </w:p>
    <w:p w14:paraId="784DBD07">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lang w:eastAsia="zh-CN"/>
        </w:rPr>
        <w:t>评标委员会按照招标文件中规定的评标方法和标准，对符合性审查合格的投标文件进行商务和技术评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lang w:eastAsia="zh-CN"/>
        </w:rPr>
        <w:t>，综合比较与评价。</w:t>
      </w:r>
    </w:p>
    <w:p w14:paraId="47C0AACC">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lang w:eastAsia="zh-CN"/>
        </w:rPr>
        <w:t>评标时，评标委员会各成员应当独立对每个投标人的投标文件进行评价，并汇总每个投标人的得分，由评标委员会推荐3名中标候选人。</w:t>
      </w:r>
    </w:p>
    <w:p w14:paraId="0954D325">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lang w:eastAsia="zh-CN"/>
        </w:rPr>
        <w:t>投标人的评审得分为所有评委评审得分的算术平均值，评审得分取至小数点后两位（第三位四舍五入）。</w:t>
      </w:r>
    </w:p>
    <w:p w14:paraId="7CF5264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lang w:eastAsia="zh-CN"/>
        </w:rPr>
        <w:t>评标委员会完成评标后，应当出具书面评标报告。</w:t>
      </w:r>
    </w:p>
    <w:p w14:paraId="29889BE4">
      <w:pPr>
        <w:pageBreakBefore w:val="0"/>
        <w:wordWrap/>
        <w:topLinePunct w:val="0"/>
        <w:bidi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786F1845">
      <w:pPr>
        <w:pStyle w:val="51"/>
        <w:pageBreakBefore w:val="0"/>
        <w:wordWrap/>
        <w:topLinePunct w:val="0"/>
        <w:bidi w:val="0"/>
        <w:spacing w:line="360" w:lineRule="auto"/>
        <w:rPr>
          <w:rFonts w:hint="eastAsia" w:ascii="仿宋" w:hAnsi="仿宋" w:eastAsia="仿宋" w:cs="仿宋"/>
          <w:sz w:val="28"/>
          <w:szCs w:val="28"/>
          <w:lang w:eastAsia="zh-CN"/>
        </w:rPr>
      </w:pPr>
    </w:p>
    <w:p w14:paraId="69DDE002">
      <w:pPr>
        <w:pStyle w:val="51"/>
        <w:pageBreakBefore w:val="0"/>
        <w:wordWrap/>
        <w:topLinePunct w:val="0"/>
        <w:bidi w:val="0"/>
        <w:spacing w:line="360" w:lineRule="auto"/>
        <w:rPr>
          <w:rFonts w:hint="eastAsia" w:ascii="仿宋" w:hAnsi="仿宋" w:eastAsia="仿宋" w:cs="仿宋"/>
          <w:sz w:val="28"/>
          <w:szCs w:val="28"/>
          <w:lang w:eastAsia="zh-CN"/>
        </w:rPr>
      </w:pPr>
    </w:p>
    <w:p w14:paraId="2149D49F">
      <w:pPr>
        <w:pageBreakBefore w:val="0"/>
        <w:numPr>
          <w:ilvl w:val="0"/>
          <w:numId w:val="0"/>
        </w:numPr>
        <w:wordWrap/>
        <w:topLinePunct w:val="0"/>
        <w:bidi w:val="0"/>
        <w:spacing w:line="360" w:lineRule="auto"/>
        <w:outlineLvl w:val="2"/>
        <w:rPr>
          <w:rFonts w:hint="eastAsia" w:ascii="仿宋" w:hAnsi="仿宋" w:eastAsia="仿宋" w:cs="仿宋"/>
          <w:b/>
          <w:color w:val="auto"/>
          <w:sz w:val="28"/>
          <w:szCs w:val="28"/>
          <w:lang w:eastAsia="zh-CN"/>
        </w:rPr>
      </w:pPr>
      <w:bookmarkStart w:id="589" w:name="_Toc1647555423_WPSOffice_Level3"/>
      <w:bookmarkStart w:id="590" w:name="_Toc75126242_WPSOffice_Level3"/>
      <w:bookmarkStart w:id="591" w:name="_Toc71296678_WPSOffice_Level2"/>
      <w:r>
        <w:rPr>
          <w:rFonts w:hint="eastAsia" w:ascii="仿宋" w:hAnsi="仿宋" w:eastAsia="仿宋" w:cs="仿宋"/>
          <w:b/>
          <w:color w:val="auto"/>
          <w:sz w:val="28"/>
          <w:szCs w:val="28"/>
          <w:lang w:val="en-US" w:eastAsia="zh-CN"/>
        </w:rPr>
        <w:br w:type="page"/>
      </w:r>
      <w:bookmarkEnd w:id="589"/>
      <w:bookmarkEnd w:id="590"/>
      <w:bookmarkEnd w:id="591"/>
      <w:bookmarkStart w:id="592" w:name="_Toc648016321_WPSOffice_Level3"/>
      <w:bookmarkStart w:id="593" w:name="_Toc131500600_WPSOffice_Level3"/>
      <w:bookmarkStart w:id="594" w:name="_Toc2128211085"/>
      <w:bookmarkStart w:id="595" w:name="_Toc1212124171"/>
      <w:bookmarkStart w:id="596" w:name="_Toc1876950018_WPSOffice_Level1"/>
      <w:bookmarkStart w:id="597" w:name="_Toc1366447656"/>
      <w:bookmarkStart w:id="598" w:name="_Toc2021117886"/>
      <w:bookmarkStart w:id="599" w:name="_Toc505697850"/>
      <w:bookmarkStart w:id="600" w:name="_Toc2146371347"/>
      <w:bookmarkStart w:id="601" w:name="_Toc667407289"/>
      <w:bookmarkStart w:id="602" w:name="_Toc1887969822_WPSOffice_Level2"/>
      <w:bookmarkStart w:id="603" w:name="_Toc1047604175"/>
      <w:bookmarkStart w:id="604" w:name="_Toc1351594660_WPSOffice_Level2"/>
      <w:bookmarkStart w:id="605" w:name="_Toc1554580408"/>
      <w:bookmarkStart w:id="606" w:name="_Toc339295120"/>
      <w:bookmarkStart w:id="607" w:name="_Toc1216028725_WPSOffice_Level2"/>
      <w:bookmarkStart w:id="608" w:name="_Toc1331652897_WPSOffice_Level2"/>
      <w:bookmarkStart w:id="609" w:name="_Toc694927784"/>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lang w:eastAsia="zh-CN"/>
        </w:rPr>
        <w:t>评分标准（满分100分）</w:t>
      </w:r>
      <w:bookmarkEnd w:id="592"/>
      <w:bookmarkEnd w:id="593"/>
    </w:p>
    <w:tbl>
      <w:tblPr>
        <w:tblStyle w:val="5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61"/>
        <w:gridCol w:w="6160"/>
        <w:gridCol w:w="892"/>
      </w:tblGrid>
      <w:tr w14:paraId="2F44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80" w:type="dxa"/>
            <w:noWrap w:val="0"/>
            <w:vAlign w:val="center"/>
          </w:tcPr>
          <w:p w14:paraId="74679B63">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评分内容</w:t>
            </w:r>
          </w:p>
        </w:tc>
        <w:tc>
          <w:tcPr>
            <w:tcW w:w="1361" w:type="dxa"/>
            <w:noWrap w:val="0"/>
            <w:vAlign w:val="center"/>
          </w:tcPr>
          <w:p w14:paraId="30B5AF37">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评分因素</w:t>
            </w:r>
          </w:p>
        </w:tc>
        <w:tc>
          <w:tcPr>
            <w:tcW w:w="6160" w:type="dxa"/>
            <w:noWrap w:val="0"/>
            <w:vAlign w:val="center"/>
          </w:tcPr>
          <w:p w14:paraId="00F7A565">
            <w:pPr>
              <w:keepNext w:val="0"/>
              <w:keepLines w:val="0"/>
              <w:pageBreakBefore w:val="0"/>
              <w:widowControl w:val="0"/>
              <w:kinsoku/>
              <w:wordWrap/>
              <w:overflowPunct/>
              <w:topLinePunct w:val="0"/>
              <w:bidi w:val="0"/>
              <w:spacing w:beforeAutospacing="0" w:line="360" w:lineRule="auto"/>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评分标准</w:t>
            </w:r>
          </w:p>
        </w:tc>
        <w:tc>
          <w:tcPr>
            <w:tcW w:w="892" w:type="dxa"/>
            <w:noWrap w:val="0"/>
            <w:vAlign w:val="center"/>
          </w:tcPr>
          <w:p w14:paraId="26C8DDC4">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分值</w:t>
            </w:r>
          </w:p>
        </w:tc>
      </w:tr>
      <w:tr w14:paraId="2CEF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480" w:type="dxa"/>
            <w:noWrap w:val="0"/>
            <w:vAlign w:val="center"/>
          </w:tcPr>
          <w:p w14:paraId="61F79800">
            <w:pPr>
              <w:wordWrap w:val="0"/>
              <w:topLinePunct/>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w:t>
            </w:r>
          </w:p>
          <w:p w14:paraId="1318C355">
            <w:pPr>
              <w:wordWrap w:val="0"/>
              <w:topLinePunct/>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（20分）</w:t>
            </w:r>
          </w:p>
        </w:tc>
        <w:tc>
          <w:tcPr>
            <w:tcW w:w="1361" w:type="dxa"/>
            <w:noWrap w:val="0"/>
            <w:vAlign w:val="center"/>
          </w:tcPr>
          <w:p w14:paraId="60295D39">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w:t>
            </w:r>
          </w:p>
        </w:tc>
        <w:tc>
          <w:tcPr>
            <w:tcW w:w="6160" w:type="dxa"/>
            <w:noWrap w:val="0"/>
            <w:vAlign w:val="center"/>
          </w:tcPr>
          <w:p w14:paraId="344ADB27">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价格分统一采用低价优先法计算，即满足招标文件要求且投标价格最低的投标报价为评标基准价，其价格分为满分。其他投标人的价格分统一按照下列公式计算：投标报价得分=（评标基准价/投标报价）×20</w:t>
            </w:r>
          </w:p>
          <w:p w14:paraId="6964383B">
            <w:pPr>
              <w:autoSpaceDE w:val="0"/>
              <w:autoSpaceDN w:val="0"/>
              <w:adjustRightInd w:val="0"/>
              <w:ind w:right="21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aps/>
                <w:kern w:val="0"/>
                <w:sz w:val="28"/>
                <w:szCs w:val="28"/>
                <w:lang w:val="en-US" w:eastAsia="zh-CN"/>
              </w:rPr>
              <w:t>因落实政府采购政策进行价格调整的，以调整后的价格计算评标基准价和投标报价得分。对于小型和微型企业以扣除后的价格作为报价参与评审。</w:t>
            </w:r>
          </w:p>
        </w:tc>
        <w:tc>
          <w:tcPr>
            <w:tcW w:w="892" w:type="dxa"/>
            <w:noWrap w:val="0"/>
            <w:vAlign w:val="center"/>
          </w:tcPr>
          <w:p w14:paraId="099C3D51">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w:t>
            </w:r>
          </w:p>
        </w:tc>
      </w:tr>
      <w:tr w14:paraId="0351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480" w:type="dxa"/>
            <w:vMerge w:val="restart"/>
            <w:noWrap w:val="0"/>
            <w:vAlign w:val="center"/>
          </w:tcPr>
          <w:p w14:paraId="069A1CE1">
            <w:pPr>
              <w:wordWrap w:val="0"/>
              <w:topLinePunct/>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综合部分</w:t>
            </w:r>
          </w:p>
          <w:p w14:paraId="19B41FD8">
            <w:pPr>
              <w:wordWrap w:val="0"/>
              <w:topLinePunct/>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lang w:val="en-US" w:eastAsia="zh-CN"/>
              </w:rPr>
              <w:t>（20分）</w:t>
            </w:r>
          </w:p>
        </w:tc>
        <w:tc>
          <w:tcPr>
            <w:tcW w:w="1361" w:type="dxa"/>
            <w:noWrap w:val="0"/>
            <w:vAlign w:val="center"/>
          </w:tcPr>
          <w:p w14:paraId="7FE2E3E6">
            <w:pPr>
              <w:keepNext w:val="0"/>
              <w:keepLines w:val="0"/>
              <w:pageBreakBefore w:val="0"/>
              <w:widowControl w:val="0"/>
              <w:kinsoku/>
              <w:wordWrap/>
              <w:overflowPunct/>
              <w:topLinePunct w:val="0"/>
              <w:bidi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业绩</w:t>
            </w:r>
          </w:p>
        </w:tc>
        <w:tc>
          <w:tcPr>
            <w:tcW w:w="6160" w:type="dxa"/>
            <w:noWrap w:val="0"/>
            <w:vAlign w:val="center"/>
          </w:tcPr>
          <w:p w14:paraId="4DF42AB2">
            <w:pPr>
              <w:autoSpaceDE w:val="0"/>
              <w:autoSpaceDN w:val="0"/>
              <w:adjustRightInd w:val="0"/>
              <w:ind w:right="210"/>
              <w:rPr>
                <w:rFonts w:hint="eastAsia" w:ascii="仿宋_GB2312" w:hAnsi="仿宋_GB2312" w:eastAsia="仿宋_GB2312" w:cs="仿宋_GB2312"/>
                <w:caps/>
                <w:kern w:val="0"/>
                <w:sz w:val="28"/>
                <w:szCs w:val="28"/>
                <w:lang w:val="zh-TW" w:eastAsia="zh-CN"/>
              </w:rPr>
            </w:pPr>
            <w:r>
              <w:rPr>
                <w:rFonts w:hint="eastAsia" w:ascii="仿宋_GB2312" w:hAnsi="仿宋_GB2312" w:eastAsia="仿宋_GB2312" w:cs="仿宋_GB2312"/>
                <w:caps/>
                <w:kern w:val="0"/>
                <w:sz w:val="28"/>
                <w:szCs w:val="28"/>
                <w:lang w:val="zh-TW" w:eastAsia="zh-CN"/>
              </w:rPr>
              <w:t>提供投标人自202</w:t>
            </w:r>
            <w:r>
              <w:rPr>
                <w:rFonts w:hint="eastAsia" w:ascii="仿宋_GB2312" w:hAnsi="仿宋_GB2312" w:eastAsia="仿宋_GB2312" w:cs="仿宋_GB2312"/>
                <w:caps/>
                <w:kern w:val="0"/>
                <w:sz w:val="28"/>
                <w:szCs w:val="28"/>
                <w:lang w:val="en-US" w:eastAsia="zh-CN"/>
              </w:rPr>
              <w:t>3</w:t>
            </w:r>
            <w:r>
              <w:rPr>
                <w:rFonts w:hint="eastAsia" w:ascii="仿宋_GB2312" w:hAnsi="仿宋_GB2312" w:eastAsia="仿宋_GB2312" w:cs="仿宋_GB2312"/>
                <w:caps/>
                <w:kern w:val="0"/>
                <w:sz w:val="28"/>
                <w:szCs w:val="28"/>
                <w:lang w:val="zh-TW" w:eastAsia="zh-CN"/>
              </w:rPr>
              <w:t>年</w:t>
            </w:r>
            <w:r>
              <w:rPr>
                <w:rFonts w:hint="eastAsia" w:ascii="仿宋_GB2312" w:hAnsi="仿宋_GB2312" w:eastAsia="仿宋_GB2312" w:cs="仿宋_GB2312"/>
                <w:caps/>
                <w:kern w:val="0"/>
                <w:sz w:val="28"/>
                <w:szCs w:val="28"/>
                <w:lang w:val="en-US" w:eastAsia="zh-CN"/>
              </w:rPr>
              <w:t>1</w:t>
            </w:r>
            <w:r>
              <w:rPr>
                <w:rFonts w:hint="eastAsia" w:ascii="仿宋_GB2312" w:hAnsi="仿宋_GB2312" w:eastAsia="仿宋_GB2312" w:cs="仿宋_GB2312"/>
                <w:caps/>
                <w:kern w:val="0"/>
                <w:sz w:val="28"/>
                <w:szCs w:val="28"/>
                <w:lang w:val="zh-TW" w:eastAsia="zh-CN"/>
              </w:rPr>
              <w:t>月</w:t>
            </w:r>
            <w:r>
              <w:rPr>
                <w:rFonts w:hint="eastAsia" w:ascii="仿宋_GB2312" w:hAnsi="仿宋_GB2312" w:eastAsia="仿宋_GB2312" w:cs="仿宋_GB2312"/>
                <w:caps/>
                <w:kern w:val="0"/>
                <w:sz w:val="28"/>
                <w:szCs w:val="28"/>
                <w:lang w:val="en-US" w:eastAsia="zh-CN"/>
              </w:rPr>
              <w:t>1</w:t>
            </w:r>
            <w:r>
              <w:rPr>
                <w:rFonts w:hint="eastAsia" w:ascii="仿宋_GB2312" w:hAnsi="仿宋_GB2312" w:eastAsia="仿宋_GB2312" w:cs="仿宋_GB2312"/>
                <w:caps/>
                <w:kern w:val="0"/>
                <w:sz w:val="28"/>
                <w:szCs w:val="28"/>
                <w:lang w:val="zh-TW" w:eastAsia="zh-CN"/>
              </w:rPr>
              <w:t>日以来的</w:t>
            </w:r>
            <w:r>
              <w:rPr>
                <w:rFonts w:hint="eastAsia" w:ascii="仿宋_GB2312" w:hAnsi="仿宋_GB2312" w:eastAsia="仿宋_GB2312" w:cs="仿宋_GB2312"/>
                <w:caps/>
                <w:kern w:val="0"/>
                <w:sz w:val="28"/>
                <w:szCs w:val="28"/>
                <w:lang w:val="en-US" w:eastAsia="zh-CN"/>
              </w:rPr>
              <w:t>类似</w:t>
            </w:r>
            <w:r>
              <w:rPr>
                <w:rFonts w:hint="eastAsia" w:ascii="仿宋_GB2312" w:hAnsi="仿宋_GB2312" w:eastAsia="仿宋_GB2312" w:cs="仿宋_GB2312"/>
                <w:caps/>
                <w:kern w:val="0"/>
                <w:sz w:val="28"/>
                <w:szCs w:val="28"/>
                <w:lang w:val="zh-TW" w:eastAsia="zh-CN"/>
              </w:rPr>
              <w:t>项目业绩,以合同签订日期为准，每提供</w:t>
            </w:r>
            <w:r>
              <w:rPr>
                <w:rFonts w:hint="eastAsia" w:ascii="仿宋_GB2312" w:hAnsi="仿宋_GB2312" w:eastAsia="仿宋_GB2312" w:cs="仿宋_GB2312"/>
                <w:caps/>
                <w:kern w:val="0"/>
                <w:sz w:val="28"/>
                <w:szCs w:val="28"/>
                <w:lang w:val="en-US" w:eastAsia="zh-CN"/>
              </w:rPr>
              <w:t>一</w:t>
            </w:r>
            <w:r>
              <w:rPr>
                <w:rFonts w:hint="eastAsia" w:ascii="仿宋_GB2312" w:hAnsi="仿宋_GB2312" w:eastAsia="仿宋_GB2312" w:cs="仿宋_GB2312"/>
                <w:caps/>
                <w:kern w:val="0"/>
                <w:sz w:val="28"/>
                <w:szCs w:val="28"/>
                <w:lang w:val="zh-TW" w:eastAsia="zh-CN"/>
              </w:rPr>
              <w:t>份业绩得3分，最高得12分。（业绩=完整合同（扫描件）+服务期内任意一个月的发票，扫描不清楚、不完整或无法辨认的不予认可，虚假业绩将自行承担相关责任。）缺项按0分计。</w:t>
            </w:r>
          </w:p>
          <w:p w14:paraId="50CFBC27">
            <w:pPr>
              <w:autoSpaceDE w:val="0"/>
              <w:autoSpaceDN w:val="0"/>
              <w:adjustRightInd w:val="0"/>
              <w:ind w:right="210"/>
              <w:rPr>
                <w:rFonts w:hint="eastAsia" w:ascii="仿宋_GB2312" w:hAnsi="仿宋_GB2312" w:eastAsia="仿宋_GB2312" w:cs="仿宋_GB2312"/>
                <w:color w:val="auto"/>
                <w:sz w:val="28"/>
                <w:szCs w:val="28"/>
                <w:highlight w:val="none"/>
                <w:lang w:val="zh-TW" w:eastAsia="zh-CN"/>
              </w:rPr>
            </w:pPr>
            <w:r>
              <w:rPr>
                <w:rFonts w:hint="eastAsia" w:ascii="仿宋_GB2312" w:hAnsi="仿宋_GB2312" w:eastAsia="仿宋_GB2312" w:cs="仿宋_GB2312"/>
                <w:caps/>
                <w:kern w:val="0"/>
                <w:sz w:val="28"/>
                <w:szCs w:val="28"/>
                <w:lang w:val="zh-TW" w:eastAsia="zh-CN"/>
              </w:rPr>
              <w:t>注：同一项目多个标段按一份合同计算分值。</w:t>
            </w:r>
          </w:p>
        </w:tc>
        <w:tc>
          <w:tcPr>
            <w:tcW w:w="892" w:type="dxa"/>
            <w:noWrap w:val="0"/>
            <w:vAlign w:val="center"/>
          </w:tcPr>
          <w:p w14:paraId="1D752432">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w:t>
            </w:r>
          </w:p>
        </w:tc>
      </w:tr>
      <w:tr w14:paraId="2864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80" w:type="dxa"/>
            <w:vMerge w:val="continue"/>
            <w:noWrap w:val="0"/>
            <w:vAlign w:val="center"/>
          </w:tcPr>
          <w:p w14:paraId="2A00409E">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bCs/>
                <w:color w:val="auto"/>
                <w:sz w:val="28"/>
                <w:szCs w:val="28"/>
                <w:highlight w:val="none"/>
              </w:rPr>
            </w:pPr>
          </w:p>
        </w:tc>
        <w:tc>
          <w:tcPr>
            <w:tcW w:w="1361" w:type="dxa"/>
            <w:noWrap w:val="0"/>
            <w:vAlign w:val="center"/>
          </w:tcPr>
          <w:p w14:paraId="32898B3B">
            <w:pPr>
              <w:keepNext w:val="0"/>
              <w:keepLines w:val="0"/>
              <w:pageBreakBefore w:val="0"/>
              <w:widowControl w:val="0"/>
              <w:kinsoku/>
              <w:wordWrap/>
              <w:overflowPunct/>
              <w:topLinePunct w:val="0"/>
              <w:bidi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服务承诺</w:t>
            </w:r>
          </w:p>
        </w:tc>
        <w:tc>
          <w:tcPr>
            <w:tcW w:w="6160" w:type="dxa"/>
            <w:noWrap w:val="0"/>
            <w:vAlign w:val="center"/>
          </w:tcPr>
          <w:p w14:paraId="0CA5E960">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投标人应针对本项目提供服务承诺，包括但不限于中标后临时提供特殊设施设备、物业进驻及合同到期时的交接、特殊情况下服从采购人对服务人员的调配、对采购人不满意的物业经理或其他人员无条件更换、学校重大活动服务等方面内容。</w:t>
            </w:r>
          </w:p>
          <w:p w14:paraId="35EEE951">
            <w:pPr>
              <w:autoSpaceDE w:val="0"/>
              <w:autoSpaceDN w:val="0"/>
              <w:adjustRightInd w:val="0"/>
              <w:ind w:right="210"/>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aps/>
                <w:kern w:val="0"/>
                <w:sz w:val="28"/>
                <w:szCs w:val="28"/>
                <w:lang w:val="en-US" w:eastAsia="zh-CN"/>
              </w:rPr>
              <w:t>投标人对每项内容论述详细，完全贴合采购需求的得8分；投标人对每项内容虽阐述但未贴合采购需求进行论述，或内容未包括具体细节的得5分；投标人提供的内容不完整或存在影响本项目目标实现的明显错误的得2分；缺项得0分。</w:t>
            </w:r>
          </w:p>
        </w:tc>
        <w:tc>
          <w:tcPr>
            <w:tcW w:w="892" w:type="dxa"/>
            <w:noWrap w:val="0"/>
            <w:vAlign w:val="center"/>
          </w:tcPr>
          <w:p w14:paraId="55D5E57C">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p>
        </w:tc>
      </w:tr>
      <w:tr w14:paraId="7372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80" w:type="dxa"/>
            <w:vMerge w:val="restart"/>
            <w:noWrap w:val="0"/>
            <w:vAlign w:val="center"/>
          </w:tcPr>
          <w:p w14:paraId="729159A1">
            <w:pPr>
              <w:wordWrap w:val="0"/>
              <w:topLinePunct/>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技术部分</w:t>
            </w:r>
          </w:p>
          <w:p w14:paraId="7F40749B">
            <w:pPr>
              <w:wordWrap w:val="0"/>
              <w:topLinePunct/>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（60分）</w:t>
            </w:r>
          </w:p>
        </w:tc>
        <w:tc>
          <w:tcPr>
            <w:tcW w:w="1361" w:type="dxa"/>
            <w:shd w:val="clear" w:color="auto" w:fill="auto"/>
            <w:noWrap w:val="0"/>
            <w:vAlign w:val="center"/>
          </w:tcPr>
          <w:p w14:paraId="059E895B">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人员设备</w:t>
            </w:r>
          </w:p>
          <w:p w14:paraId="6208638C">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zh-TW" w:eastAsia="zh-CN" w:bidi="ar-SA"/>
              </w:rPr>
            </w:pPr>
            <w:r>
              <w:rPr>
                <w:rFonts w:hint="eastAsia" w:ascii="仿宋_GB2312" w:hAnsi="仿宋_GB2312" w:eastAsia="仿宋_GB2312" w:cs="仿宋_GB2312"/>
                <w:color w:val="auto"/>
                <w:sz w:val="28"/>
                <w:szCs w:val="28"/>
                <w:highlight w:val="none"/>
                <w:lang w:val="en-US" w:eastAsia="zh-CN"/>
              </w:rPr>
              <w:t>及物料投入</w:t>
            </w:r>
          </w:p>
        </w:tc>
        <w:tc>
          <w:tcPr>
            <w:tcW w:w="6160" w:type="dxa"/>
            <w:shd w:val="clear" w:color="auto" w:fill="auto"/>
            <w:noWrap w:val="0"/>
            <w:vAlign w:val="top"/>
          </w:tcPr>
          <w:p w14:paraId="3C7ACED0">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评标委员会根据投标文件和相关证明材料对招标文件的响应情况，对照判断所投人员及设备是否满足招标文件的要求：</w:t>
            </w:r>
          </w:p>
          <w:p w14:paraId="69964375">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1.带★代表实质性指标，不满足或未响应该指标项将导致投标被拒绝；</w:t>
            </w:r>
          </w:p>
          <w:p w14:paraId="5575299B">
            <w:pPr>
              <w:autoSpaceDE w:val="0"/>
              <w:autoSpaceDN w:val="0"/>
              <w:adjustRightInd w:val="0"/>
              <w:ind w:right="210" w:rightChars="0"/>
              <w:rPr>
                <w:rFonts w:hint="eastAsia" w:ascii="仿宋_GB2312" w:hAnsi="仿宋_GB2312" w:eastAsia="仿宋_GB2312" w:cs="仿宋_GB2312"/>
                <w:caps/>
                <w:color w:val="auto"/>
                <w:kern w:val="0"/>
                <w:sz w:val="28"/>
                <w:szCs w:val="28"/>
                <w:highlight w:val="none"/>
                <w:lang w:val="zh-TW" w:eastAsia="zh-CN" w:bidi="ar-SA"/>
              </w:rPr>
            </w:pPr>
            <w:r>
              <w:rPr>
                <w:rFonts w:hint="eastAsia" w:ascii="仿宋_GB2312" w:hAnsi="仿宋_GB2312" w:eastAsia="仿宋_GB2312" w:cs="仿宋_GB2312"/>
                <w:caps/>
                <w:kern w:val="0"/>
                <w:sz w:val="28"/>
                <w:szCs w:val="28"/>
                <w:lang w:val="en-US" w:eastAsia="zh-CN"/>
              </w:rPr>
              <w:t>2.带△号表示优化指标项，每满足一项得1分，满分共29分。</w:t>
            </w:r>
          </w:p>
        </w:tc>
        <w:tc>
          <w:tcPr>
            <w:tcW w:w="892" w:type="dxa"/>
            <w:shd w:val="clear" w:color="auto" w:fill="auto"/>
            <w:noWrap w:val="0"/>
            <w:vAlign w:val="center"/>
          </w:tcPr>
          <w:p w14:paraId="011958C3">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29</w:t>
            </w:r>
          </w:p>
        </w:tc>
      </w:tr>
      <w:tr w14:paraId="6C93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80" w:type="dxa"/>
            <w:vMerge w:val="continue"/>
            <w:noWrap w:val="0"/>
            <w:vAlign w:val="center"/>
          </w:tcPr>
          <w:p w14:paraId="05AEAE2F">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bCs/>
                <w:color w:val="auto"/>
                <w:sz w:val="28"/>
                <w:szCs w:val="28"/>
                <w:highlight w:val="none"/>
              </w:rPr>
            </w:pPr>
          </w:p>
        </w:tc>
        <w:tc>
          <w:tcPr>
            <w:tcW w:w="1361" w:type="dxa"/>
            <w:shd w:val="clear" w:color="auto" w:fill="auto"/>
            <w:noWrap w:val="0"/>
            <w:vAlign w:val="center"/>
          </w:tcPr>
          <w:p w14:paraId="3496A797">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zh-TW" w:eastAsia="zh-CN" w:bidi="ar-SA"/>
              </w:rPr>
            </w:pPr>
            <w:r>
              <w:rPr>
                <w:rFonts w:hint="eastAsia" w:ascii="仿宋_GB2312" w:hAnsi="仿宋_GB2312" w:eastAsia="仿宋_GB2312" w:cs="仿宋_GB2312"/>
                <w:color w:val="auto"/>
                <w:sz w:val="28"/>
                <w:szCs w:val="28"/>
                <w:highlight w:val="none"/>
              </w:rPr>
              <w:t>物业管理整体设想及策划</w:t>
            </w:r>
          </w:p>
        </w:tc>
        <w:tc>
          <w:tcPr>
            <w:tcW w:w="6160" w:type="dxa"/>
            <w:shd w:val="clear" w:color="auto" w:fill="auto"/>
            <w:noWrap w:val="0"/>
            <w:vAlign w:val="center"/>
          </w:tcPr>
          <w:p w14:paraId="5E284E01">
            <w:pPr>
              <w:autoSpaceDE w:val="0"/>
              <w:autoSpaceDN w:val="0"/>
              <w:adjustRightInd w:val="0"/>
              <w:ind w:right="210"/>
              <w:rPr>
                <w:rFonts w:hint="default" w:ascii="仿宋_GB2312" w:hAnsi="仿宋_GB2312" w:eastAsia="仿宋_GB2312" w:cs="仿宋_GB2312"/>
                <w:caps/>
                <w:kern w:val="0"/>
                <w:sz w:val="28"/>
                <w:szCs w:val="28"/>
                <w:lang w:val="en-US" w:eastAsia="zh-CN"/>
              </w:rPr>
            </w:pPr>
            <w:r>
              <w:rPr>
                <w:rFonts w:hint="default" w:ascii="仿宋_GB2312" w:hAnsi="仿宋_GB2312" w:eastAsia="仿宋_GB2312" w:cs="仿宋_GB2312"/>
                <w:caps/>
                <w:kern w:val="0"/>
                <w:sz w:val="28"/>
                <w:szCs w:val="28"/>
                <w:lang w:val="en-US" w:eastAsia="zh-CN"/>
              </w:rPr>
              <w:t>投标人需根据采购需求提供针对本项目的物业管理整体设想及策划方案，方案应包括：项目需求分析及设想</w:t>
            </w:r>
            <w:r>
              <w:rPr>
                <w:rFonts w:hint="eastAsia" w:ascii="仿宋_GB2312" w:hAnsi="仿宋_GB2312" w:eastAsia="仿宋_GB2312" w:cs="仿宋_GB2312"/>
                <w:caps/>
                <w:kern w:val="0"/>
                <w:sz w:val="28"/>
                <w:szCs w:val="28"/>
                <w:highlight w:val="none"/>
                <w:lang w:val="en-US" w:eastAsia="zh-CN"/>
              </w:rPr>
              <w:t>、</w:t>
            </w:r>
            <w:r>
              <w:rPr>
                <w:rFonts w:hint="default" w:ascii="仿宋_GB2312" w:hAnsi="仿宋_GB2312" w:eastAsia="仿宋_GB2312" w:cs="仿宋_GB2312"/>
                <w:caps/>
                <w:kern w:val="0"/>
                <w:sz w:val="28"/>
                <w:szCs w:val="28"/>
                <w:lang w:val="en-US" w:eastAsia="zh-CN"/>
              </w:rPr>
              <w:t>项目现场组织、管理机构设置、质量责任监管、监督考核机制等。</w:t>
            </w:r>
          </w:p>
          <w:p w14:paraId="12D50EF8">
            <w:pPr>
              <w:autoSpaceDE w:val="0"/>
              <w:autoSpaceDN w:val="0"/>
              <w:adjustRightInd w:val="0"/>
              <w:ind w:right="210" w:rightChars="0"/>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aps/>
                <w:kern w:val="0"/>
                <w:sz w:val="28"/>
                <w:szCs w:val="28"/>
                <w:lang w:val="en-US" w:eastAsia="zh-CN"/>
              </w:rPr>
              <w:t>投标人对每项内容论述详细,完全贴合项目采购需求的得</w:t>
            </w:r>
            <w:r>
              <w:rPr>
                <w:rFonts w:hint="eastAsia" w:ascii="仿宋_GB2312" w:hAnsi="仿宋_GB2312" w:eastAsia="仿宋_GB2312" w:cs="仿宋_GB2312"/>
                <w:caps/>
                <w:kern w:val="0"/>
                <w:sz w:val="28"/>
                <w:szCs w:val="28"/>
                <w:lang w:val="en-US" w:eastAsia="zh-CN"/>
              </w:rPr>
              <w:t>5</w:t>
            </w:r>
            <w:r>
              <w:rPr>
                <w:rFonts w:hint="default" w:ascii="仿宋_GB2312" w:hAnsi="仿宋_GB2312" w:eastAsia="仿宋_GB2312" w:cs="仿宋_GB2312"/>
                <w:caps/>
                <w:kern w:val="0"/>
                <w:sz w:val="28"/>
                <w:szCs w:val="28"/>
                <w:lang w:val="en-US" w:eastAsia="zh-CN"/>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3</w:t>
            </w:r>
            <w:r>
              <w:rPr>
                <w:rFonts w:hint="default" w:ascii="仿宋_GB2312" w:hAnsi="仿宋_GB2312" w:eastAsia="仿宋_GB2312" w:cs="仿宋_GB2312"/>
                <w:caps/>
                <w:kern w:val="0"/>
                <w:sz w:val="28"/>
                <w:szCs w:val="28"/>
                <w:lang w:val="en-US" w:eastAsia="zh-CN"/>
              </w:rPr>
              <w:t>分;投标人提供的内容不完整或存在影响本项目目标实现的明显错误得</w:t>
            </w:r>
            <w:r>
              <w:rPr>
                <w:rFonts w:hint="eastAsia" w:ascii="仿宋_GB2312" w:hAnsi="仿宋_GB2312" w:eastAsia="仿宋_GB2312" w:cs="仿宋_GB2312"/>
                <w:caps/>
                <w:kern w:val="0"/>
                <w:sz w:val="28"/>
                <w:szCs w:val="28"/>
                <w:lang w:val="en-US" w:eastAsia="zh-CN"/>
              </w:rPr>
              <w:t>1</w:t>
            </w:r>
            <w:r>
              <w:rPr>
                <w:rFonts w:hint="default" w:ascii="仿宋_GB2312" w:hAnsi="仿宋_GB2312" w:eastAsia="仿宋_GB2312" w:cs="仿宋_GB2312"/>
                <w:caps/>
                <w:kern w:val="0"/>
                <w:sz w:val="28"/>
                <w:szCs w:val="28"/>
                <w:lang w:val="en-US" w:eastAsia="zh-CN"/>
              </w:rPr>
              <w:t>分;</w:t>
            </w:r>
            <w:r>
              <w:rPr>
                <w:rFonts w:hint="eastAsia" w:ascii="仿宋_GB2312" w:hAnsi="仿宋_GB2312" w:eastAsia="仿宋_GB2312" w:cs="仿宋_GB2312"/>
                <w:caps/>
                <w:kern w:val="0"/>
                <w:sz w:val="28"/>
                <w:szCs w:val="28"/>
                <w:lang w:val="en-US" w:eastAsia="zh-CN"/>
              </w:rPr>
              <w:t>缺项得0分</w:t>
            </w:r>
            <w:r>
              <w:rPr>
                <w:rFonts w:hint="default" w:ascii="仿宋_GB2312" w:hAnsi="仿宋_GB2312" w:eastAsia="仿宋_GB2312" w:cs="仿宋_GB2312"/>
                <w:caps/>
                <w:kern w:val="0"/>
                <w:sz w:val="28"/>
                <w:szCs w:val="28"/>
                <w:lang w:val="en-US" w:eastAsia="zh-CN"/>
              </w:rPr>
              <w:t>。</w:t>
            </w:r>
          </w:p>
        </w:tc>
        <w:tc>
          <w:tcPr>
            <w:tcW w:w="892" w:type="dxa"/>
            <w:shd w:val="clear" w:color="auto" w:fill="auto"/>
            <w:noWrap w:val="0"/>
            <w:vAlign w:val="center"/>
          </w:tcPr>
          <w:p w14:paraId="1F9EA353">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5</w:t>
            </w:r>
          </w:p>
        </w:tc>
      </w:tr>
      <w:tr w14:paraId="272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480" w:type="dxa"/>
            <w:vMerge w:val="continue"/>
            <w:noWrap w:val="0"/>
            <w:vAlign w:val="center"/>
          </w:tcPr>
          <w:p w14:paraId="30DD62B1">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bCs/>
                <w:color w:val="auto"/>
                <w:sz w:val="28"/>
                <w:szCs w:val="28"/>
                <w:highlight w:val="none"/>
              </w:rPr>
            </w:pPr>
          </w:p>
        </w:tc>
        <w:tc>
          <w:tcPr>
            <w:tcW w:w="1361" w:type="dxa"/>
            <w:shd w:val="clear" w:color="auto" w:fill="auto"/>
            <w:noWrap w:val="0"/>
            <w:vAlign w:val="center"/>
          </w:tcPr>
          <w:p w14:paraId="579116AC">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服务方案</w:t>
            </w:r>
          </w:p>
        </w:tc>
        <w:tc>
          <w:tcPr>
            <w:tcW w:w="6160" w:type="dxa"/>
            <w:shd w:val="clear" w:color="auto" w:fill="auto"/>
            <w:noWrap w:val="0"/>
            <w:vAlign w:val="center"/>
          </w:tcPr>
          <w:p w14:paraId="199BBA01">
            <w:pPr>
              <w:autoSpaceDE w:val="0"/>
              <w:autoSpaceDN w:val="0"/>
              <w:adjustRightInd w:val="0"/>
              <w:ind w:right="210"/>
              <w:rPr>
                <w:rFonts w:hint="eastAsia" w:ascii="仿宋_GB2312" w:hAnsi="仿宋_GB2312" w:eastAsia="仿宋_GB2312" w:cs="仿宋_GB2312"/>
                <w:caps/>
                <w:kern w:val="0"/>
                <w:sz w:val="28"/>
                <w:szCs w:val="28"/>
                <w:highlight w:val="none"/>
                <w:lang w:val="en" w:eastAsia="zh-CN"/>
              </w:rPr>
            </w:pPr>
            <w:r>
              <w:rPr>
                <w:rFonts w:hint="eastAsia" w:ascii="仿宋_GB2312" w:hAnsi="仿宋_GB2312" w:eastAsia="仿宋_GB2312" w:cs="仿宋_GB2312"/>
                <w:caps/>
                <w:kern w:val="0"/>
                <w:sz w:val="28"/>
                <w:szCs w:val="28"/>
                <w:highlight w:val="none"/>
                <w:lang w:val="en-US" w:eastAsia="zh-CN"/>
              </w:rPr>
              <w:t>投标人应结合本项目的服务范围、要求及特点，制定整体管理</w:t>
            </w:r>
            <w:r>
              <w:rPr>
                <w:rFonts w:hint="eastAsia" w:ascii="仿宋_GB2312" w:hAnsi="仿宋_GB2312" w:eastAsia="仿宋_GB2312" w:cs="仿宋_GB2312"/>
                <w:caps/>
                <w:kern w:val="0"/>
                <w:sz w:val="28"/>
                <w:szCs w:val="28"/>
                <w:highlight w:val="none"/>
                <w:lang w:val="en" w:eastAsia="zh-CN"/>
              </w:rPr>
              <w:t>服务方案，</w:t>
            </w:r>
            <w:r>
              <w:rPr>
                <w:rFonts w:hint="eastAsia" w:ascii="仿宋_GB2312" w:hAnsi="仿宋_GB2312" w:eastAsia="仿宋_GB2312" w:cs="仿宋_GB2312"/>
                <w:caps/>
                <w:kern w:val="0"/>
                <w:sz w:val="28"/>
                <w:szCs w:val="28"/>
                <w:highlight w:val="none"/>
                <w:lang w:val="en-US" w:eastAsia="zh-CN"/>
              </w:rPr>
              <w:t>包含但不限于保洁服务、基本大伙食堂保洁服务、维修维护服务、绿化养护服务、学生公寓管理服务、秩序维护服务、进驻、交接以及7个专项服务等</w:t>
            </w:r>
            <w:r>
              <w:rPr>
                <w:rFonts w:hint="eastAsia" w:ascii="仿宋_GB2312" w:hAnsi="仿宋_GB2312" w:eastAsia="仿宋_GB2312" w:cs="仿宋_GB2312"/>
                <w:caps/>
                <w:kern w:val="0"/>
                <w:sz w:val="28"/>
                <w:szCs w:val="28"/>
                <w:highlight w:val="none"/>
                <w:lang w:val="en" w:eastAsia="zh-CN"/>
              </w:rPr>
              <w:t>。</w:t>
            </w:r>
          </w:p>
          <w:p w14:paraId="5AA7BD08">
            <w:pPr>
              <w:autoSpaceDE w:val="0"/>
              <w:autoSpaceDN w:val="0"/>
              <w:adjustRightInd w:val="0"/>
              <w:ind w:right="210" w:right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aps/>
                <w:kern w:val="0"/>
                <w:sz w:val="28"/>
                <w:szCs w:val="28"/>
                <w:highlight w:val="none"/>
                <w:lang w:val="en-US" w:eastAsia="zh-CN"/>
              </w:rPr>
              <w:t>投标人对每项内容论述详细，完全贴合采购需求的得9分；投标人对每项内容虽阐述但未贴合采购需求进行论述，或内容未包括具体细节的得6分；投标人提供的内容不完整或存在影响本项目目标实现的明显错误的得3分；缺项得0分。</w:t>
            </w:r>
          </w:p>
        </w:tc>
        <w:tc>
          <w:tcPr>
            <w:tcW w:w="892" w:type="dxa"/>
            <w:shd w:val="clear" w:color="auto" w:fill="auto"/>
            <w:noWrap w:val="0"/>
            <w:vAlign w:val="center"/>
          </w:tcPr>
          <w:p w14:paraId="2D74AEF8">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strike w:val="0"/>
                <w:dstrike w:val="0"/>
                <w:color w:val="auto"/>
                <w:sz w:val="28"/>
                <w:szCs w:val="28"/>
                <w:highlight w:val="none"/>
                <w:lang w:val="en-US" w:eastAsia="zh-CN"/>
              </w:rPr>
              <w:t>9</w:t>
            </w:r>
          </w:p>
        </w:tc>
      </w:tr>
      <w:tr w14:paraId="1B5D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80" w:type="dxa"/>
            <w:vMerge w:val="continue"/>
            <w:noWrap w:val="0"/>
            <w:vAlign w:val="center"/>
          </w:tcPr>
          <w:p w14:paraId="4F32D233">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b/>
                <w:bCs/>
                <w:color w:val="auto"/>
                <w:sz w:val="28"/>
                <w:szCs w:val="28"/>
                <w:highlight w:val="none"/>
              </w:rPr>
            </w:pPr>
          </w:p>
        </w:tc>
        <w:tc>
          <w:tcPr>
            <w:tcW w:w="1361" w:type="dxa"/>
            <w:noWrap w:val="0"/>
            <w:vAlign w:val="center"/>
          </w:tcPr>
          <w:p w14:paraId="65E8758A">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培训方案</w:t>
            </w:r>
          </w:p>
        </w:tc>
        <w:tc>
          <w:tcPr>
            <w:tcW w:w="6160" w:type="dxa"/>
            <w:noWrap w:val="0"/>
            <w:vAlign w:val="center"/>
          </w:tcPr>
          <w:p w14:paraId="1310C166">
            <w:pPr>
              <w:autoSpaceDE w:val="0"/>
              <w:autoSpaceDN w:val="0"/>
              <w:adjustRightInd w:val="0"/>
              <w:ind w:right="210"/>
              <w:rPr>
                <w:rFonts w:hint="eastAsia" w:ascii="仿宋_GB2312" w:hAnsi="仿宋_GB2312" w:eastAsia="仿宋_GB2312" w:cs="仿宋_GB2312"/>
                <w:caps/>
                <w:kern w:val="0"/>
                <w:sz w:val="28"/>
                <w:szCs w:val="28"/>
                <w:highlight w:val="none"/>
                <w:lang w:val="en-US" w:eastAsia="zh-CN"/>
              </w:rPr>
            </w:pPr>
            <w:r>
              <w:rPr>
                <w:rFonts w:hint="eastAsia" w:ascii="仿宋_GB2312" w:hAnsi="仿宋_GB2312" w:eastAsia="仿宋_GB2312" w:cs="仿宋_GB2312"/>
                <w:caps/>
                <w:kern w:val="0"/>
                <w:sz w:val="28"/>
                <w:szCs w:val="28"/>
                <w:highlight w:val="none"/>
                <w:lang w:val="en-US" w:eastAsia="zh-CN"/>
              </w:rPr>
              <w:t>投标人结合实际，针对本项目特点，制定人员培训方案。方案应包括但不限于：培训的时间和地点、目标方式和内容、对象、措施等。</w:t>
            </w:r>
          </w:p>
          <w:p w14:paraId="22E0E438">
            <w:pPr>
              <w:autoSpaceDE w:val="0"/>
              <w:autoSpaceDN w:val="0"/>
              <w:adjustRightInd w:val="0"/>
              <w:ind w:right="21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aps/>
                <w:kern w:val="0"/>
                <w:sz w:val="28"/>
                <w:szCs w:val="28"/>
                <w:highlight w:val="none"/>
                <w:lang w:val="en-US" w:eastAsia="zh-CN"/>
              </w:rPr>
              <w:t>投标人对每项内容论述详细，完全贴合采购需求的得4分；投标人对每项内容虽阐述但未贴合采购需求进行论述，或内容未包括具体细节的得2分；投标人提供的内容不完整或存在影响本项目目标实现的明显错误的得1分；缺项得0分。</w:t>
            </w:r>
          </w:p>
        </w:tc>
        <w:tc>
          <w:tcPr>
            <w:tcW w:w="892" w:type="dxa"/>
            <w:noWrap w:val="0"/>
            <w:vAlign w:val="center"/>
          </w:tcPr>
          <w:p w14:paraId="06539B9D">
            <w:pPr>
              <w:keepNext w:val="0"/>
              <w:keepLines w:val="0"/>
              <w:pageBreakBefore w:val="0"/>
              <w:widowControl w:val="0"/>
              <w:kinsoku/>
              <w:wordWrap/>
              <w:overflowPunct/>
              <w:topLinePunct w:val="0"/>
              <w:bidi w:val="0"/>
              <w:spacing w:beforeAutospacing="0" w:line="36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trike w:val="0"/>
                <w:dstrike w:val="0"/>
                <w:color w:val="auto"/>
                <w:sz w:val="28"/>
                <w:szCs w:val="28"/>
                <w:highlight w:val="none"/>
                <w:lang w:val="en-US" w:eastAsia="zh-CN"/>
              </w:rPr>
              <w:t>4</w:t>
            </w:r>
          </w:p>
        </w:tc>
      </w:tr>
      <w:tr w14:paraId="513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480" w:type="dxa"/>
            <w:vMerge w:val="continue"/>
            <w:noWrap w:val="0"/>
            <w:vAlign w:val="center"/>
          </w:tcPr>
          <w:p w14:paraId="16FDED0E">
            <w:pPr>
              <w:pStyle w:val="4"/>
              <w:keepNext w:val="0"/>
              <w:keepLines w:val="0"/>
              <w:pageBreakBefore w:val="0"/>
              <w:widowControl w:val="0"/>
              <w:kinsoku/>
              <w:wordWrap/>
              <w:overflowPunct/>
              <w:topLinePunct w:val="0"/>
              <w:bidi w:val="0"/>
              <w:spacing w:before="0" w:beforeAutospacing="0" w:line="360" w:lineRule="auto"/>
              <w:textAlignment w:val="auto"/>
              <w:rPr>
                <w:rFonts w:hint="eastAsia" w:ascii="仿宋_GB2312" w:hAnsi="仿宋_GB2312" w:eastAsia="仿宋_GB2312" w:cs="仿宋_GB2312"/>
                <w:color w:val="auto"/>
                <w:sz w:val="28"/>
                <w:szCs w:val="28"/>
                <w:highlight w:val="none"/>
                <w:lang w:val="zh-TW" w:eastAsia="zh-TW"/>
              </w:rPr>
            </w:pPr>
          </w:p>
        </w:tc>
        <w:tc>
          <w:tcPr>
            <w:tcW w:w="1361" w:type="dxa"/>
            <w:noWrap w:val="0"/>
            <w:vAlign w:val="center"/>
          </w:tcPr>
          <w:p w14:paraId="0F65B5C4">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档案管理方案</w:t>
            </w:r>
          </w:p>
        </w:tc>
        <w:tc>
          <w:tcPr>
            <w:tcW w:w="6160" w:type="dxa"/>
            <w:noWrap w:val="0"/>
            <w:vAlign w:val="center"/>
          </w:tcPr>
          <w:p w14:paraId="2068C68F">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投标人需针对本项目制定档案管理方案，方案至少包含档案的建立、档案的收集、档案的分类、档案的管理。</w:t>
            </w:r>
          </w:p>
          <w:p w14:paraId="7326570F">
            <w:pPr>
              <w:autoSpaceDE w:val="0"/>
              <w:autoSpaceDN w:val="0"/>
              <w:adjustRightInd w:val="0"/>
              <w:ind w:right="21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aps/>
                <w:kern w:val="0"/>
                <w:sz w:val="28"/>
                <w:szCs w:val="28"/>
                <w:lang w:val="en-US" w:eastAsia="zh-CN"/>
              </w:rPr>
              <w:t>投标人对每项内容论述详细，完全贴合采购需求的得4分；投标人对每项内容虽阐述但未贴合采购需求进行论述，或内容未包括具体细节的得2分；投标人提供的内容不完整或存在影响本项目目标实现的明显错误的得1分；缺项得0分。</w:t>
            </w:r>
          </w:p>
        </w:tc>
        <w:tc>
          <w:tcPr>
            <w:tcW w:w="892" w:type="dxa"/>
            <w:noWrap w:val="0"/>
            <w:vAlign w:val="center"/>
          </w:tcPr>
          <w:p w14:paraId="167641E8">
            <w:pPr>
              <w:keepNext w:val="0"/>
              <w:keepLines w:val="0"/>
              <w:pageBreakBefore w:val="0"/>
              <w:widowControl w:val="0"/>
              <w:kinsoku/>
              <w:wordWrap/>
              <w:overflowPunct/>
              <w:topLinePunct w:val="0"/>
              <w:bidi w:val="0"/>
              <w:spacing w:beforeAutospacing="0" w:line="36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r>
      <w:tr w14:paraId="7C88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80" w:type="dxa"/>
            <w:vMerge w:val="continue"/>
            <w:noWrap w:val="0"/>
            <w:vAlign w:val="center"/>
          </w:tcPr>
          <w:p w14:paraId="657E2053">
            <w:pPr>
              <w:keepNext w:val="0"/>
              <w:keepLines w:val="0"/>
              <w:pageBreakBefore w:val="0"/>
              <w:widowControl w:val="0"/>
              <w:kinsoku/>
              <w:wordWrap/>
              <w:overflowPunct/>
              <w:topLinePunct w:val="0"/>
              <w:bidi w:val="0"/>
              <w:spacing w:beforeAutospacing="0" w:line="360" w:lineRule="auto"/>
              <w:jc w:val="left"/>
              <w:textAlignment w:val="auto"/>
              <w:rPr>
                <w:rFonts w:hint="eastAsia" w:ascii="仿宋_GB2312" w:hAnsi="仿宋_GB2312" w:eastAsia="仿宋_GB2312" w:cs="仿宋_GB2312"/>
                <w:color w:val="auto"/>
                <w:sz w:val="28"/>
                <w:szCs w:val="28"/>
                <w:highlight w:val="none"/>
              </w:rPr>
            </w:pPr>
          </w:p>
        </w:tc>
        <w:tc>
          <w:tcPr>
            <w:tcW w:w="1361" w:type="dxa"/>
            <w:noWrap w:val="0"/>
            <w:vAlign w:val="center"/>
          </w:tcPr>
          <w:p w14:paraId="30776C1C">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质量保证措施</w:t>
            </w:r>
          </w:p>
        </w:tc>
        <w:tc>
          <w:tcPr>
            <w:tcW w:w="6160" w:type="dxa"/>
            <w:noWrap w:val="0"/>
            <w:vAlign w:val="center"/>
          </w:tcPr>
          <w:p w14:paraId="0DA0F548">
            <w:pPr>
              <w:autoSpaceDE w:val="0"/>
              <w:autoSpaceDN w:val="0"/>
              <w:adjustRightInd w:val="0"/>
              <w:ind w:right="210"/>
              <w:rPr>
                <w:rFonts w:hint="eastAsia" w:ascii="仿宋_GB2312" w:hAnsi="仿宋_GB2312" w:eastAsia="仿宋_GB2312" w:cs="仿宋_GB2312"/>
                <w:caps/>
                <w:kern w:val="0"/>
                <w:sz w:val="28"/>
                <w:szCs w:val="28"/>
                <w:lang w:val="en-US" w:eastAsia="zh-CN"/>
              </w:rPr>
            </w:pPr>
            <w:r>
              <w:rPr>
                <w:rFonts w:hint="eastAsia" w:ascii="仿宋_GB2312" w:hAnsi="仿宋_GB2312" w:eastAsia="仿宋_GB2312" w:cs="仿宋_GB2312"/>
                <w:caps/>
                <w:kern w:val="0"/>
                <w:sz w:val="28"/>
                <w:szCs w:val="28"/>
                <w:lang w:val="en-US" w:eastAsia="zh-CN"/>
              </w:rPr>
              <w:t>投标人针对实现本项目服务目标，制定质量保证措施。质量保证措施应包括但不限于：质量管控、保证措施、质量保证制度、质量标准、检查方法等内容。</w:t>
            </w:r>
          </w:p>
          <w:p w14:paraId="18295A9B">
            <w:pPr>
              <w:autoSpaceDE w:val="0"/>
              <w:autoSpaceDN w:val="0"/>
              <w:adjustRightInd w:val="0"/>
              <w:ind w:right="21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aps/>
                <w:kern w:val="0"/>
                <w:sz w:val="28"/>
                <w:szCs w:val="28"/>
                <w:lang w:val="en-US" w:eastAsia="zh-CN"/>
              </w:rPr>
              <w:t>投标人对每项内容论述详细，完全贴合采购需求的得5分；投标人对每项内容虽阐述但未贴合采购需求进行论述，或内容未包括具体细节的得3分；投标人提供的内容不完整或存在影响本项目目标实现的明显错误的得1分；缺项得0分。</w:t>
            </w:r>
          </w:p>
        </w:tc>
        <w:tc>
          <w:tcPr>
            <w:tcW w:w="892" w:type="dxa"/>
            <w:noWrap w:val="0"/>
            <w:vAlign w:val="center"/>
          </w:tcPr>
          <w:p w14:paraId="399917FA">
            <w:pPr>
              <w:keepNext w:val="0"/>
              <w:keepLines w:val="0"/>
              <w:pageBreakBefore w:val="0"/>
              <w:widowControl w:val="0"/>
              <w:kinsoku/>
              <w:wordWrap/>
              <w:overflowPunct/>
              <w:topLinePunct w:val="0"/>
              <w:bidi w:val="0"/>
              <w:spacing w:beforeAutospacing="0" w:line="36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trike w:val="0"/>
                <w:dstrike w:val="0"/>
                <w:color w:val="auto"/>
                <w:sz w:val="28"/>
                <w:szCs w:val="28"/>
                <w:highlight w:val="none"/>
                <w:lang w:val="en-US" w:eastAsia="zh-CN"/>
              </w:rPr>
              <w:t>5</w:t>
            </w:r>
          </w:p>
        </w:tc>
      </w:tr>
      <w:tr w14:paraId="26A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80" w:type="dxa"/>
            <w:vMerge w:val="continue"/>
            <w:noWrap w:val="0"/>
            <w:vAlign w:val="center"/>
          </w:tcPr>
          <w:p w14:paraId="614DB83B">
            <w:pPr>
              <w:keepNext w:val="0"/>
              <w:keepLines w:val="0"/>
              <w:pageBreakBefore w:val="0"/>
              <w:widowControl w:val="0"/>
              <w:kinsoku/>
              <w:wordWrap/>
              <w:overflowPunct/>
              <w:topLinePunct w:val="0"/>
              <w:bidi w:val="0"/>
              <w:spacing w:beforeAutospacing="0" w:line="360" w:lineRule="auto"/>
              <w:jc w:val="left"/>
              <w:textAlignment w:val="auto"/>
              <w:rPr>
                <w:rFonts w:hint="eastAsia" w:ascii="仿宋_GB2312" w:hAnsi="仿宋_GB2312" w:eastAsia="仿宋_GB2312" w:cs="仿宋_GB2312"/>
                <w:color w:val="auto"/>
                <w:sz w:val="28"/>
                <w:szCs w:val="28"/>
                <w:highlight w:val="none"/>
              </w:rPr>
            </w:pPr>
          </w:p>
        </w:tc>
        <w:tc>
          <w:tcPr>
            <w:tcW w:w="1361" w:type="dxa"/>
            <w:noWrap w:val="0"/>
            <w:vAlign w:val="center"/>
          </w:tcPr>
          <w:p w14:paraId="2B4D7CC2">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应急方案</w:t>
            </w:r>
          </w:p>
        </w:tc>
        <w:tc>
          <w:tcPr>
            <w:tcW w:w="6160" w:type="dxa"/>
            <w:noWrap w:val="0"/>
            <w:vAlign w:val="center"/>
          </w:tcPr>
          <w:p w14:paraId="42C581E4">
            <w:pPr>
              <w:autoSpaceDE w:val="0"/>
              <w:autoSpaceDN w:val="0"/>
              <w:adjustRightInd w:val="0"/>
              <w:ind w:right="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针对本项目特点，制定突发事件应急预案及处置措施：①针对迎新季、毕业季、重要会议、大型考试、运动会、全校性比赛等重大活动提供的服务保障预案；②水电气暖突发故障及事故、电梯故障及事故、高空坠落、火灾爆炸等突发事件应急预案；③食物中毒、公共事件应急预案；④雨雪极端天气、消防等自然灾害应急预案。</w:t>
            </w:r>
          </w:p>
          <w:p w14:paraId="6844492C">
            <w:pPr>
              <w:autoSpaceDE w:val="0"/>
              <w:autoSpaceDN w:val="0"/>
              <w:adjustRightInd w:val="0"/>
              <w:ind w:right="21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aps/>
                <w:kern w:val="0"/>
                <w:sz w:val="28"/>
                <w:szCs w:val="28"/>
              </w:rPr>
              <w:t>投标人对每项内容论述详细，完全贴合采购需求的得</w:t>
            </w:r>
            <w:r>
              <w:rPr>
                <w:rFonts w:hint="eastAsia" w:ascii="仿宋_GB2312" w:hAnsi="仿宋_GB2312" w:eastAsia="仿宋_GB2312" w:cs="仿宋_GB2312"/>
                <w:caps/>
                <w:kern w:val="0"/>
                <w:sz w:val="28"/>
                <w:szCs w:val="28"/>
                <w:lang w:val="en-US" w:eastAsia="zh-CN"/>
              </w:rPr>
              <w:t>4</w:t>
            </w:r>
            <w:r>
              <w:rPr>
                <w:rFonts w:hint="eastAsia" w:ascii="仿宋_GB2312" w:hAnsi="仿宋_GB2312" w:eastAsia="仿宋_GB2312" w:cs="仿宋_GB2312"/>
                <w:caps/>
                <w:kern w:val="0"/>
                <w:sz w:val="28"/>
                <w:szCs w:val="28"/>
              </w:rPr>
              <w:t>分；投标人对每项内容虽阐述但未贴合采购需求进行论述，或内容未包括具体细节的得</w:t>
            </w:r>
            <w:r>
              <w:rPr>
                <w:rFonts w:hint="eastAsia" w:ascii="仿宋_GB2312" w:hAnsi="仿宋_GB2312" w:eastAsia="仿宋_GB2312" w:cs="仿宋_GB2312"/>
                <w:caps/>
                <w:kern w:val="0"/>
                <w:sz w:val="28"/>
                <w:szCs w:val="28"/>
                <w:lang w:val="en-US" w:eastAsia="zh-CN"/>
              </w:rPr>
              <w:t>2</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投标人提供的内容不完整或存在影响本项目目标实现的明显错误</w:t>
            </w:r>
            <w:r>
              <w:rPr>
                <w:rFonts w:hint="eastAsia" w:ascii="仿宋_GB2312" w:hAnsi="仿宋_GB2312" w:eastAsia="仿宋_GB2312" w:cs="仿宋_GB2312"/>
                <w:caps/>
                <w:kern w:val="0"/>
                <w:sz w:val="28"/>
                <w:szCs w:val="28"/>
              </w:rPr>
              <w:t>的得</w:t>
            </w:r>
            <w:r>
              <w:rPr>
                <w:rFonts w:hint="eastAsia" w:ascii="仿宋_GB2312" w:hAnsi="仿宋_GB2312" w:eastAsia="仿宋_GB2312" w:cs="仿宋_GB2312"/>
                <w:caps/>
                <w:kern w:val="0"/>
                <w:sz w:val="28"/>
                <w:szCs w:val="28"/>
                <w:lang w:val="en-US" w:eastAsia="zh-CN"/>
              </w:rPr>
              <w:t>1</w:t>
            </w:r>
            <w:r>
              <w:rPr>
                <w:rFonts w:hint="eastAsia" w:ascii="仿宋_GB2312" w:hAnsi="仿宋_GB2312" w:eastAsia="仿宋_GB2312" w:cs="仿宋_GB2312"/>
                <w:caps/>
                <w:kern w:val="0"/>
                <w:sz w:val="28"/>
                <w:szCs w:val="28"/>
              </w:rPr>
              <w:t>分；</w:t>
            </w:r>
            <w:r>
              <w:rPr>
                <w:rFonts w:hint="eastAsia" w:ascii="仿宋_GB2312" w:hAnsi="仿宋_GB2312" w:eastAsia="仿宋_GB2312" w:cs="仿宋_GB2312"/>
                <w:caps/>
                <w:kern w:val="0"/>
                <w:sz w:val="28"/>
                <w:szCs w:val="28"/>
                <w:lang w:eastAsia="zh-CN"/>
              </w:rPr>
              <w:t>缺项得0分</w:t>
            </w:r>
            <w:r>
              <w:rPr>
                <w:rFonts w:hint="eastAsia" w:ascii="仿宋_GB2312" w:hAnsi="仿宋_GB2312" w:eastAsia="仿宋_GB2312" w:cs="仿宋_GB2312"/>
                <w:caps/>
                <w:kern w:val="0"/>
                <w:sz w:val="28"/>
                <w:szCs w:val="28"/>
              </w:rPr>
              <w:t>。</w:t>
            </w:r>
          </w:p>
        </w:tc>
        <w:tc>
          <w:tcPr>
            <w:tcW w:w="892" w:type="dxa"/>
            <w:noWrap w:val="0"/>
            <w:vAlign w:val="center"/>
          </w:tcPr>
          <w:p w14:paraId="25E5A25D">
            <w:pPr>
              <w:keepNext w:val="0"/>
              <w:keepLines w:val="0"/>
              <w:pageBreakBefore w:val="0"/>
              <w:widowControl w:val="0"/>
              <w:kinsoku/>
              <w:wordWrap/>
              <w:overflowPunct/>
              <w:topLinePunct w:val="0"/>
              <w:bidi w:val="0"/>
              <w:adjustRightInd w:val="0"/>
              <w:snapToGrid w:val="0"/>
              <w:spacing w:beforeAutospacing="0" w:line="360" w:lineRule="auto"/>
              <w:jc w:val="center"/>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4</w:t>
            </w:r>
          </w:p>
        </w:tc>
      </w:tr>
    </w:tbl>
    <w:p w14:paraId="1DD6721E">
      <w:pPr>
        <w:pageBreakBefore w:val="0"/>
        <w:wordWrap/>
        <w:topLinePunct w:val="0"/>
        <w:bidi w:val="0"/>
        <w:spacing w:line="360" w:lineRule="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br w:type="page"/>
      </w:r>
    </w:p>
    <w:p w14:paraId="662BBC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2" w:firstLineChars="200"/>
        <w:jc w:val="both"/>
        <w:textAlignment w:val="auto"/>
        <w:outlineLvl w:val="9"/>
        <w:rPr>
          <w:rFonts w:hint="eastAsia" w:ascii="仿宋" w:hAnsi="仿宋" w:eastAsia="仿宋" w:cs="仿宋"/>
          <w:b/>
          <w:bCs/>
          <w:sz w:val="28"/>
          <w:szCs w:val="28"/>
          <w:lang w:val="en-US" w:eastAsia="zh-CN"/>
        </w:rPr>
      </w:pPr>
      <w:bookmarkStart w:id="610" w:name="_Toc32485"/>
      <w:r>
        <w:rPr>
          <w:rFonts w:hint="eastAsia" w:ascii="仿宋" w:hAnsi="仿宋" w:eastAsia="仿宋" w:cs="仿宋"/>
          <w:b/>
          <w:bCs/>
          <w:sz w:val="28"/>
          <w:szCs w:val="28"/>
          <w:lang w:val="en-US" w:eastAsia="zh-CN"/>
        </w:rPr>
        <w:t>七、管理要求</w:t>
      </w:r>
    </w:p>
    <w:p w14:paraId="20608E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（一）管理理念与目标</w:t>
      </w:r>
    </w:p>
    <w:p w14:paraId="6D7E65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1.服务理念：秉持“服务育人、环境育人、管理育人”的理念，将物业服务与高校立德树人的根本任务相结合，营造安全、文明、和谐、优美的校园环境。</w:t>
      </w:r>
    </w:p>
    <w:p w14:paraId="1D9F61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2.管理目标：实现物业管理服务的标准化、精细化、人性化。承诺在本项目合同期内，达到或超过《河南省高等学校物业管理服务标准》及国家、地方相关优秀物业管理标准。</w:t>
      </w:r>
    </w:p>
    <w:p w14:paraId="137AAC9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2"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（二）组织架构与人员配备</w:t>
      </w:r>
    </w:p>
    <w:p w14:paraId="3F5A7D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1.物业经理：需派驻一名全职、经验丰富的物业经理，物业经理不得在其他项目兼职。</w:t>
      </w:r>
    </w:p>
    <w:p w14:paraId="17D35DA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2.管理团队：组建专业、稳定的现场管理团队，包括客服、安保、工程、环境等主管人员。</w:t>
      </w:r>
    </w:p>
    <w:p w14:paraId="22AFC9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3.服务人员：所有一线服务人员（保洁、保安、维修工等）应统一着装、行为规范、培训到位。人员配置数量应科学合理，满足校区7x24小时服务需求。</w:t>
      </w:r>
    </w:p>
    <w:p w14:paraId="75BF9B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4.供应商的物业管理方案、组织架构、人员录用和各项规章制度，在实施前要报告采购人，采购人有审核权。</w:t>
      </w:r>
    </w:p>
    <w:p w14:paraId="1141BA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5.采购人对物业管理公司的人员有直接指挥权。中标人对所录用人员要严格审查，保证录用人员没有刑事犯罪记录和传染性疾病。</w:t>
      </w:r>
    </w:p>
    <w:p w14:paraId="2D73D10C">
      <w:pPr>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br w:type="page"/>
      </w:r>
    </w:p>
    <w:p w14:paraId="7F5EFAC7">
      <w:pPr>
        <w:pStyle w:val="6"/>
        <w:pageBreakBefore w:val="0"/>
        <w:wordWrap/>
        <w:topLinePunct w:val="0"/>
        <w:bidi w:val="0"/>
        <w:spacing w:before="0" w:after="0" w:line="360" w:lineRule="auto"/>
        <w:jc w:val="center"/>
        <w:rPr>
          <w:rFonts w:hint="eastAsia"/>
        </w:rPr>
      </w:pPr>
      <w:r>
        <w:rPr>
          <w:rFonts w:hint="eastAsia" w:ascii="仿宋" w:hAnsi="仿宋" w:eastAsia="仿宋" w:cs="仿宋"/>
          <w:color w:val="auto"/>
          <w:sz w:val="36"/>
          <w:szCs w:val="36"/>
          <w:lang w:val="en-US" w:eastAsia="zh-CN"/>
        </w:rPr>
        <w:t xml:space="preserve">第八章 </w:t>
      </w:r>
      <w:r>
        <w:rPr>
          <w:rFonts w:hint="eastAsia" w:ascii="仿宋" w:hAnsi="仿宋" w:eastAsia="仿宋" w:cs="仿宋"/>
          <w:color w:val="auto"/>
          <w:sz w:val="36"/>
          <w:szCs w:val="36"/>
        </w:rPr>
        <w:t>政府采购合同</w:t>
      </w:r>
      <w:bookmarkEnd w:id="610"/>
      <w:bookmarkStart w:id="611" w:name="_Toc714862996"/>
      <w:bookmarkStart w:id="612" w:name="_Toc1568280797"/>
      <w:bookmarkStart w:id="613" w:name="_Toc473367889"/>
    </w:p>
    <w:p w14:paraId="2EDFA5DF">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cs="仿宋"/>
          <w:b/>
          <w:sz w:val="28"/>
          <w:szCs w:val="28"/>
        </w:rPr>
      </w:pPr>
      <w:r>
        <w:rPr>
          <w:rFonts w:hint="eastAsia" w:ascii="宋体" w:hAnsi="宋体" w:cs="宋体"/>
          <w:bCs/>
          <w:sz w:val="40"/>
          <w:szCs w:val="40"/>
        </w:rPr>
        <w:t>物业服务合同</w:t>
      </w:r>
    </w:p>
    <w:p w14:paraId="7ED8B06D">
      <w:pPr>
        <w:spacing w:line="560" w:lineRule="exact"/>
        <w:rPr>
          <w:rFonts w:hint="eastAsia" w:ascii="仿宋" w:hAnsi="仿宋" w:eastAsia="仿宋" w:cs="仿宋"/>
          <w:b/>
          <w:sz w:val="28"/>
          <w:szCs w:val="28"/>
        </w:rPr>
      </w:pPr>
      <w:r>
        <w:rPr>
          <w:rFonts w:hint="eastAsia" w:ascii="仿宋" w:hAnsi="仿宋" w:eastAsia="仿宋" w:cs="仿宋"/>
          <w:b/>
          <w:sz w:val="28"/>
          <w:szCs w:val="28"/>
        </w:rPr>
        <w:t>甲方：河南财经政法大学</w:t>
      </w:r>
    </w:p>
    <w:p w14:paraId="5D292C0B">
      <w:pPr>
        <w:spacing w:line="560" w:lineRule="exact"/>
        <w:rPr>
          <w:rFonts w:hint="eastAsia" w:ascii="仿宋" w:hAnsi="仿宋" w:eastAsia="仿宋" w:cs="仿宋"/>
          <w:sz w:val="28"/>
          <w:szCs w:val="28"/>
          <w:u w:val="single"/>
        </w:rPr>
      </w:pPr>
      <w:r>
        <w:rPr>
          <w:rFonts w:hint="eastAsia" w:ascii="仿宋" w:hAnsi="仿宋" w:eastAsia="仿宋" w:cs="仿宋"/>
          <w:b/>
          <w:sz w:val="28"/>
          <w:szCs w:val="28"/>
        </w:rPr>
        <w:t xml:space="preserve">乙方：  </w:t>
      </w:r>
      <w:r>
        <w:rPr>
          <w:rFonts w:hint="eastAsia" w:ascii="仿宋" w:hAnsi="仿宋" w:eastAsia="仿宋" w:cs="仿宋"/>
          <w:sz w:val="28"/>
          <w:szCs w:val="28"/>
        </w:rPr>
        <w:t xml:space="preserve">           </w:t>
      </w:r>
    </w:p>
    <w:p w14:paraId="617E130E">
      <w:pPr>
        <w:adjustRightInd w:val="0"/>
        <w:snapToGrid w:val="0"/>
        <w:spacing w:line="53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根据</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的中标通知书和招标（采购）、投标（响应性）文件（或其他采购依据），经甲、乙双方协商，签订本合同。</w:t>
      </w:r>
    </w:p>
    <w:p w14:paraId="370B4E59">
      <w:pPr>
        <w:adjustRightInd w:val="0"/>
        <w:snapToGrid w:val="0"/>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一、甲方同意将河南财经政法大学郑东校区物业服务委托给乙方；乙方同意按照本合同要求接受甲方委托，并向甲方提供优质服务。</w:t>
      </w:r>
    </w:p>
    <w:p w14:paraId="5283621C">
      <w:pPr>
        <w:adjustRightInd w:val="0"/>
        <w:snapToGrid w:val="0"/>
        <w:spacing w:line="530" w:lineRule="exact"/>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二</w:t>
      </w:r>
      <w:r>
        <w:rPr>
          <w:rFonts w:hint="eastAsia" w:ascii="仿宋" w:hAnsi="仿宋" w:eastAsia="仿宋" w:cs="仿宋"/>
          <w:b/>
          <w:sz w:val="28"/>
          <w:szCs w:val="28"/>
        </w:rPr>
        <w:t>、合同金额</w:t>
      </w:r>
    </w:p>
    <w:p w14:paraId="3AE289C8">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rPr>
        <w:t>）</w:t>
      </w:r>
    </w:p>
    <w:p w14:paraId="24802FC7">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本合同价为该项目服务费全包价，包括工作人员的所有费用、办公费、业务培训费、人员服装费、材料工具费以及工作人员的意外伤亡</w:t>
      </w:r>
      <w:r>
        <w:rPr>
          <w:rFonts w:hint="eastAsia" w:ascii="仿宋" w:hAnsi="仿宋" w:eastAsia="仿宋" w:cs="仿宋"/>
          <w:sz w:val="28"/>
          <w:szCs w:val="28"/>
        </w:rPr>
        <w:t>等产生的所有费用。甲方</w:t>
      </w:r>
      <w:r>
        <w:rPr>
          <w:rFonts w:hint="eastAsia" w:ascii="仿宋" w:hAnsi="仿宋" w:eastAsia="仿宋" w:cs="仿宋"/>
          <w:color w:val="000000"/>
          <w:sz w:val="28"/>
          <w:szCs w:val="28"/>
        </w:rPr>
        <w:t>不承担服务费以外的其它任何费用。</w:t>
      </w:r>
      <w:r>
        <w:rPr>
          <w:rFonts w:hint="eastAsia" w:ascii="仿宋" w:hAnsi="仿宋" w:eastAsia="仿宋" w:cs="仿宋"/>
          <w:sz w:val="28"/>
          <w:szCs w:val="28"/>
        </w:rPr>
        <w:t>服务费用不因原材料及人力费用等政策或市场行情变化而变动。合同期内若物业服务工作量变动，双方根据乙方在投标文件中承诺的分项目报价费率另行协商计算物业服务费增减额。</w:t>
      </w:r>
    </w:p>
    <w:p w14:paraId="0C678BA2">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付款条件及方式：每月</w:t>
      </w:r>
      <w:r>
        <w:rPr>
          <w:rFonts w:hint="eastAsia" w:ascii="仿宋" w:hAnsi="仿宋" w:eastAsia="仿宋" w:cs="仿宋"/>
          <w:sz w:val="28"/>
          <w:szCs w:val="28"/>
          <w:lang w:val="en-US" w:eastAsia="zh-CN"/>
        </w:rPr>
        <w:t>10日前</w:t>
      </w:r>
      <w:r>
        <w:rPr>
          <w:rFonts w:hint="eastAsia" w:ascii="仿宋" w:hAnsi="仿宋" w:eastAsia="仿宋" w:cs="仿宋"/>
          <w:sz w:val="28"/>
          <w:szCs w:val="28"/>
        </w:rPr>
        <w:t>凭甲方</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开具的上月月度考核报告、应支付额度和乙方开具的正规发票，由甲</w:t>
      </w:r>
      <w:r>
        <w:rPr>
          <w:rFonts w:hint="eastAsia" w:ascii="仿宋" w:hAnsi="仿宋" w:eastAsia="仿宋" w:cs="仿宋"/>
          <w:sz w:val="28"/>
          <w:szCs w:val="28"/>
          <w:lang w:val="en-US" w:eastAsia="zh-CN"/>
        </w:rPr>
        <w:t>方保障服务部</w:t>
      </w:r>
      <w:r>
        <w:rPr>
          <w:rFonts w:hint="eastAsia" w:ascii="仿宋" w:hAnsi="仿宋" w:eastAsia="仿宋" w:cs="仿宋"/>
          <w:sz w:val="28"/>
          <w:szCs w:val="28"/>
        </w:rPr>
        <w:t>到学校相关部门办理审签及支付手续，以转帐的方式支付上月物业服务费。合同期内最后一个月的物业服务费待甲乙双方办理完交接手续后，由甲方支付给乙方。遇节假日（包括甲方假期），支付时间顺延。</w:t>
      </w:r>
    </w:p>
    <w:p w14:paraId="166DD658">
      <w:pPr>
        <w:pStyle w:val="19"/>
        <w:spacing w:line="53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三、乙方服务期限：</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年，从</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日至</w:t>
      </w: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1645D0FD">
      <w:pPr>
        <w:adjustRightInd w:val="0"/>
        <w:snapToGrid w:val="0"/>
        <w:spacing w:line="53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四、服务范</w:t>
      </w:r>
      <w:r>
        <w:rPr>
          <w:rFonts w:hint="eastAsia" w:ascii="仿宋" w:hAnsi="仿宋" w:eastAsia="仿宋" w:cs="仿宋"/>
          <w:b/>
          <w:sz w:val="28"/>
          <w:szCs w:val="28"/>
        </w:rPr>
        <w:t>围、内容、岗位职责及人员配置</w:t>
      </w:r>
    </w:p>
    <w:p w14:paraId="0339CE9C">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乙方对甲方负责提供物业服务的服务范围、内容、岗位职责及人员配置详见招标文件。</w:t>
      </w:r>
    </w:p>
    <w:p w14:paraId="38C7D12E">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eastAsia="zh-CN"/>
        </w:rPr>
        <w:t>需</w:t>
      </w:r>
      <w:r>
        <w:rPr>
          <w:rFonts w:hint="eastAsia" w:ascii="仿宋" w:hAnsi="仿宋" w:eastAsia="仿宋" w:cs="仿宋"/>
          <w:sz w:val="28"/>
          <w:szCs w:val="28"/>
        </w:rPr>
        <w:t>服从甲方</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的管理，乙方委派投标文件明确的</w:t>
      </w:r>
      <w:r>
        <w:rPr>
          <w:rFonts w:hint="eastAsia" w:ascii="仿宋" w:hAnsi="仿宋" w:eastAsia="仿宋" w:cs="仿宋"/>
          <w:sz w:val="28"/>
          <w:szCs w:val="28"/>
          <w:lang w:val="en-US" w:eastAsia="zh-CN"/>
        </w:rPr>
        <w:t>物业</w:t>
      </w:r>
      <w:r>
        <w:rPr>
          <w:rFonts w:hint="eastAsia" w:ascii="仿宋" w:hAnsi="仿宋" w:eastAsia="仿宋" w:cs="仿宋"/>
          <w:sz w:val="28"/>
          <w:szCs w:val="28"/>
        </w:rPr>
        <w:t>理人为驻甲方项目管理的负责人，非特殊情况经甲方同意，合同期内不得更换项目管理负责人。甲方相应的服务要求通过所属的</w:t>
      </w:r>
      <w:r>
        <w:rPr>
          <w:rFonts w:hint="eastAsia" w:ascii="仿宋" w:hAnsi="仿宋" w:eastAsia="仿宋" w:cs="仿宋"/>
          <w:sz w:val="24"/>
          <w:u w:val="single"/>
        </w:rPr>
        <w:t xml:space="preserve">     </w:t>
      </w:r>
      <w:r>
        <w:rPr>
          <w:rFonts w:hint="eastAsia" w:ascii="仿宋" w:hAnsi="仿宋" w:eastAsia="仿宋" w:cs="仿宋"/>
          <w:sz w:val="28"/>
          <w:szCs w:val="28"/>
        </w:rPr>
        <w:t>处传达给乙方，乙方组织人员完成甲方的服务。乙方配备的人员应符合招投标文件中的相关要求。</w:t>
      </w:r>
    </w:p>
    <w:p w14:paraId="6F1AC14F">
      <w:pPr>
        <w:adjustRightInd w:val="0"/>
        <w:snapToGrid w:val="0"/>
        <w:spacing w:line="53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五、服务标准</w:t>
      </w:r>
    </w:p>
    <w:p w14:paraId="352D295F">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乙方对甲方负责提供物业服务的服务标准详见招标文件。</w:t>
      </w:r>
    </w:p>
    <w:p w14:paraId="3623A8B8">
      <w:pPr>
        <w:widowControl/>
        <w:numPr>
          <w:ilvl w:val="0"/>
          <w:numId w:val="7"/>
        </w:numPr>
        <w:spacing w:line="53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履约保证金</w:t>
      </w:r>
    </w:p>
    <w:p w14:paraId="5B566AAD">
      <w:pPr>
        <w:pStyle w:val="19"/>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乙方需向甲方交纳合同金额的</w:t>
      </w:r>
      <w:r>
        <w:rPr>
          <w:rFonts w:hint="eastAsia" w:ascii="仿宋" w:hAnsi="仿宋" w:eastAsia="仿宋" w:cs="仿宋"/>
          <w:sz w:val="28"/>
          <w:szCs w:val="28"/>
          <w:lang w:val="en-US" w:eastAsia="zh-CN"/>
        </w:rPr>
        <w:t>5</w:t>
      </w:r>
      <w:r>
        <w:rPr>
          <w:rFonts w:hint="eastAsia" w:ascii="仿宋" w:hAnsi="仿宋" w:eastAsia="仿宋" w:cs="仿宋"/>
          <w:sz w:val="28"/>
          <w:szCs w:val="28"/>
        </w:rPr>
        <w:t>%作为履约保证金</w:t>
      </w:r>
      <w:r>
        <w:rPr>
          <w:rFonts w:hint="eastAsia" w:ascii="仿宋" w:hAnsi="仿宋" w:eastAsia="仿宋" w:cs="仿宋"/>
        </w:rPr>
        <w:t>，</w:t>
      </w:r>
      <w:r>
        <w:rPr>
          <w:rFonts w:hint="eastAsia" w:ascii="仿宋" w:hAnsi="仿宋" w:eastAsia="仿宋" w:cs="仿宋"/>
          <w:sz w:val="28"/>
          <w:szCs w:val="28"/>
        </w:rPr>
        <w:t>如乙方不交纳甲方有权在结算物业服务费时扣除相同金额作为履约保证金，如乙方迟延交纳履约保证金达15日，甲方有权解除合同。合同到期后如</w:t>
      </w:r>
      <w:r>
        <w:rPr>
          <w:rFonts w:hint="eastAsia" w:ascii="仿宋" w:hAnsi="仿宋" w:eastAsia="仿宋" w:cs="仿宋"/>
          <w:sz w:val="28"/>
          <w:szCs w:val="28"/>
          <w:lang w:val="en-US" w:eastAsia="zh-CN"/>
        </w:rPr>
        <w:t>乙方</w:t>
      </w:r>
      <w:r>
        <w:rPr>
          <w:rFonts w:hint="eastAsia" w:ascii="仿宋" w:hAnsi="仿宋" w:eastAsia="仿宋" w:cs="仿宋"/>
          <w:sz w:val="28"/>
          <w:szCs w:val="28"/>
        </w:rPr>
        <w:t>无违约经乙方书面申请，</w:t>
      </w:r>
      <w:r>
        <w:rPr>
          <w:rFonts w:hint="eastAsia" w:ascii="仿宋" w:hAnsi="仿宋" w:eastAsia="仿宋" w:cs="仿宋"/>
          <w:sz w:val="28"/>
          <w:szCs w:val="28"/>
          <w:lang w:val="en-US" w:eastAsia="zh-CN"/>
        </w:rPr>
        <w:t>甲方</w:t>
      </w:r>
      <w:r>
        <w:rPr>
          <w:rFonts w:hint="eastAsia" w:ascii="仿宋" w:hAnsi="仿宋" w:eastAsia="仿宋" w:cs="仿宋"/>
          <w:sz w:val="28"/>
          <w:szCs w:val="28"/>
        </w:rPr>
        <w:t>无息退还</w:t>
      </w:r>
      <w:r>
        <w:rPr>
          <w:rFonts w:hint="eastAsia" w:ascii="仿宋" w:hAnsi="仿宋" w:eastAsia="仿宋" w:cs="仿宋"/>
          <w:sz w:val="28"/>
          <w:szCs w:val="28"/>
          <w:lang w:val="en-US" w:eastAsia="zh-CN"/>
        </w:rPr>
        <w:t>履约保证金至乙方指定账户</w:t>
      </w:r>
      <w:r>
        <w:rPr>
          <w:rFonts w:hint="eastAsia" w:ascii="仿宋" w:hAnsi="仿宋" w:eastAsia="仿宋" w:cs="仿宋"/>
          <w:sz w:val="28"/>
          <w:szCs w:val="28"/>
        </w:rPr>
        <w:t>。</w:t>
      </w:r>
    </w:p>
    <w:p w14:paraId="1E1FC8B4">
      <w:pPr>
        <w:tabs>
          <w:tab w:val="left" w:pos="420"/>
        </w:tabs>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七、甲方的权利和义务</w:t>
      </w:r>
    </w:p>
    <w:p w14:paraId="2B418C46">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1.甲方为乙方提供工作所需要必要场地和综合办公用房。乙方使用甲方的房屋资产应严格按照甲方的相关规定使用，不得出租或挪做它用,且应当妥善维护相关场地和办公用房。</w:t>
      </w:r>
    </w:p>
    <w:p w14:paraId="0B7F7D7E">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2.甲方对乙方物业管理（服务）工作进行监督检查，并有权提出合理的整改意见。</w:t>
      </w:r>
    </w:p>
    <w:p w14:paraId="6B6E5EA9">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3.甲方成立物业考核工作小组，由</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负责。</w:t>
      </w:r>
    </w:p>
    <w:p w14:paraId="2F35707C">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4.甲方成立物业履约验收小组，由校招标领导小组办公室负责。</w:t>
      </w:r>
    </w:p>
    <w:p w14:paraId="197458EC">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甲方对乙方的综合评定结果应及时通知乙方，并对有关需要改进的事项进行二次监督，促使其整改到位。对于拒不整改的，甲方有权自行聘请其他公司进行整改（甲方聘请临时人员费用标准如下（1）苗木损失：苗木成本+人员工资（人员工资按200元/人·日计算）；（2）卫生打扫：人员工资按200元/人.日计算；（3）其他：人员工资按200元/人·日计算；人员工资不足一日按一日计算）。整改费用从当月乙方物业服务费用中扣除。通过</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申请由财务处报销，经费来源为乙方物业服务费。</w:t>
      </w:r>
    </w:p>
    <w:p w14:paraId="3885E656">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6.甲方有权对乙方违反合同有关规定的行为及达不到质量标准的事项要求乙方进行经济赔偿。</w:t>
      </w:r>
    </w:p>
    <w:p w14:paraId="11405D5F">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7.甲方应当按照合同约定按时支付乙方物业服务费用。</w:t>
      </w:r>
    </w:p>
    <w:p w14:paraId="26216585">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.除物业服务费外，甲方不承担乙方及其工作人员的任何其他费用。</w:t>
      </w:r>
    </w:p>
    <w:p w14:paraId="7C5BB189">
      <w:pPr>
        <w:tabs>
          <w:tab w:val="left" w:pos="420"/>
        </w:tabs>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八、乙方的权利与义务</w:t>
      </w:r>
    </w:p>
    <w:p w14:paraId="43486802">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1.乙方应达到本合同（含附件）、招投标文件（含补充文件）等有效书面材料中的相关标准和要求。</w:t>
      </w:r>
    </w:p>
    <w:p w14:paraId="7AFF2699">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2.根据法律法规的有关规定和本合同的约定向甲方按时收取物业服务费用。</w:t>
      </w:r>
    </w:p>
    <w:p w14:paraId="6B6F210B">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3.负责其员工各类有效证件及手续的督办和审验，保证特殊工种</w:t>
      </w:r>
      <w:r>
        <w:rPr>
          <w:rFonts w:hint="eastAsia" w:ascii="仿宋" w:hAnsi="仿宋" w:eastAsia="仿宋" w:cs="仿宋"/>
          <w:sz w:val="28"/>
          <w:szCs w:val="28"/>
          <w:lang w:eastAsia="zh-CN"/>
        </w:rPr>
        <w:t>需</w:t>
      </w:r>
      <w:r>
        <w:rPr>
          <w:rFonts w:hint="eastAsia" w:ascii="仿宋" w:hAnsi="仿宋" w:eastAsia="仿宋" w:cs="仿宋"/>
          <w:sz w:val="28"/>
          <w:szCs w:val="28"/>
        </w:rPr>
        <w:t>持证上岗。负责其员工社会治安的管理，自行处理其员工的社会治安问题，并独立承担相应责任。</w:t>
      </w:r>
    </w:p>
    <w:p w14:paraId="519C9D74">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4.接受甲方考核和物业管理行政主管部门的监督，不断完善管理服务，如因乙方管理失误造成甲方经济损失，乙方负责赔偿。</w:t>
      </w:r>
    </w:p>
    <w:p w14:paraId="54D12763">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5.乙方以投标</w:t>
      </w:r>
      <w:r>
        <w:rPr>
          <w:rFonts w:hint="eastAsia" w:ascii="仿宋" w:hAnsi="仿宋" w:eastAsia="仿宋" w:cs="仿宋"/>
          <w:sz w:val="28"/>
          <w:szCs w:val="28"/>
          <w:lang w:val="en-US" w:eastAsia="zh-CN"/>
        </w:rPr>
        <w:t>文件</w:t>
      </w:r>
      <w:r>
        <w:rPr>
          <w:rFonts w:hint="eastAsia" w:ascii="仿宋" w:hAnsi="仿宋" w:eastAsia="仿宋" w:cs="仿宋"/>
          <w:sz w:val="28"/>
          <w:szCs w:val="28"/>
        </w:rPr>
        <w:t>描述的技术标准作为管理服务标准，</w:t>
      </w:r>
      <w:r>
        <w:rPr>
          <w:rFonts w:hint="eastAsia" w:ascii="仿宋" w:hAnsi="仿宋" w:eastAsia="仿宋" w:cs="仿宋"/>
          <w:sz w:val="28"/>
          <w:szCs w:val="28"/>
          <w:lang w:eastAsia="zh-CN"/>
        </w:rPr>
        <w:t>需</w:t>
      </w:r>
      <w:r>
        <w:rPr>
          <w:rFonts w:hint="eastAsia" w:ascii="仿宋" w:hAnsi="仿宋" w:eastAsia="仿宋" w:cs="仿宋"/>
          <w:sz w:val="28"/>
          <w:szCs w:val="28"/>
        </w:rPr>
        <w:t>每月按</w:t>
      </w:r>
      <w:r>
        <w:rPr>
          <w:rFonts w:hint="eastAsia" w:ascii="仿宋" w:hAnsi="仿宋" w:eastAsia="仿宋" w:cs="仿宋"/>
          <w:sz w:val="28"/>
          <w:szCs w:val="28"/>
          <w:lang w:val="en-US" w:eastAsia="zh-CN"/>
        </w:rPr>
        <w:t>投标文件</w:t>
      </w:r>
      <w:r>
        <w:rPr>
          <w:rFonts w:hint="eastAsia" w:ascii="仿宋" w:hAnsi="仿宋" w:eastAsia="仿宋" w:cs="仿宋"/>
          <w:sz w:val="28"/>
          <w:szCs w:val="28"/>
        </w:rPr>
        <w:t>标准对本月工作进行自评，如有不符合</w:t>
      </w:r>
      <w:r>
        <w:rPr>
          <w:rFonts w:hint="eastAsia" w:ascii="仿宋" w:hAnsi="仿宋" w:eastAsia="仿宋" w:cs="仿宋"/>
          <w:sz w:val="28"/>
          <w:szCs w:val="28"/>
          <w:lang w:val="en-US" w:eastAsia="zh-CN"/>
        </w:rPr>
        <w:t>需求</w:t>
      </w:r>
      <w:r>
        <w:rPr>
          <w:rFonts w:hint="eastAsia" w:ascii="仿宋" w:hAnsi="仿宋" w:eastAsia="仿宋" w:cs="仿宋"/>
          <w:sz w:val="28"/>
          <w:szCs w:val="28"/>
        </w:rPr>
        <w:t>的情况，</w:t>
      </w:r>
      <w:r>
        <w:rPr>
          <w:rFonts w:hint="eastAsia" w:ascii="仿宋" w:hAnsi="仿宋" w:eastAsia="仿宋" w:cs="仿宋"/>
          <w:sz w:val="28"/>
          <w:szCs w:val="28"/>
          <w:lang w:eastAsia="zh-CN"/>
        </w:rPr>
        <w:t>需</w:t>
      </w:r>
      <w:r>
        <w:rPr>
          <w:rFonts w:hint="eastAsia" w:ascii="仿宋" w:hAnsi="仿宋" w:eastAsia="仿宋" w:cs="仿宋"/>
          <w:sz w:val="28"/>
          <w:szCs w:val="28"/>
        </w:rPr>
        <w:t>及时整改。</w:t>
      </w:r>
    </w:p>
    <w:p w14:paraId="276A2736">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应依照社会保险法、劳动法等法律法规及时缴纳所雇人员的社保费用，并做好劳动保护和意外保险工作，按月支付乙方工作人员劳动报酬、相关福利等费用。乙方所雇人员发生疾病或其它意外伤亡均与甲方无关，由于乙方职工的意外伤亡问题干扰甲方的正常工作生活秩序所造成的损失均由乙方承担，并扣除乙方的履约保证金。乙方与其员工（含乙方临时安排人员）产生的一切纠纷均由乙方自行负责沟通、协调、处置和赔偿。由此造成甲方损失的，甲方有权向乙方追偿，由乙方承担全部责任。乙方的从业人员在工作期间和其他时间的人身、财产安全以及致第三方损害的赔偿责任由乙方承担，甲方不承担任何责任。</w:t>
      </w:r>
    </w:p>
    <w:p w14:paraId="4B3E489F">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7.乙方工作人员</w:t>
      </w:r>
      <w:r>
        <w:rPr>
          <w:rFonts w:hint="eastAsia" w:ascii="仿宋" w:hAnsi="仿宋" w:eastAsia="仿宋" w:cs="仿宋"/>
          <w:sz w:val="28"/>
          <w:szCs w:val="28"/>
          <w:lang w:eastAsia="zh-CN"/>
        </w:rPr>
        <w:t>需</w:t>
      </w:r>
      <w:r>
        <w:rPr>
          <w:rFonts w:hint="eastAsia" w:ascii="仿宋" w:hAnsi="仿宋" w:eastAsia="仿宋" w:cs="仿宋"/>
          <w:sz w:val="28"/>
          <w:szCs w:val="28"/>
        </w:rPr>
        <w:t>经专业培训后方可上岗，遵守甲方的规章制度，统一着装，佩带工号牌，爱护甲方的各类设施设备及其它财产，如乙方工作人员损坏甲方设施设备及其它财产，由乙方负责赔偿。</w:t>
      </w:r>
    </w:p>
    <w:p w14:paraId="09F2F3AD">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提供物业服务所需的各类工具、用品及机械设备等。如扫地车，洗地机，抛光机，拖把，扫帚，玻璃刮，抹布及工作用车；各类垃圾桶、垃圾篓、塑料垃圾桶、垃圾袋、痰盂等；各种清洗剂、消毒剂、空气清新剂等；绿化维护所需化肥、营养液、农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种子</w:t>
      </w:r>
      <w:r>
        <w:rPr>
          <w:rFonts w:hint="eastAsia" w:ascii="仿宋" w:hAnsi="仿宋" w:eastAsia="仿宋" w:cs="仿宋"/>
          <w:sz w:val="28"/>
          <w:szCs w:val="28"/>
        </w:rPr>
        <w:t>等；保洁及其他物业人员的劳保用品等全部由乙方提供。委托管理期间，甲方不负责添置任何包括但不限于保洁工具和清洁材料的物业服务工具与材料。</w:t>
      </w:r>
    </w:p>
    <w:p w14:paraId="30E13592">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9.负责其员工的计划生育工作，并承担相应责任。</w:t>
      </w:r>
    </w:p>
    <w:p w14:paraId="41BF456C">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10.负责其员工的病、老、伤、残、亡或其它意外事件的处理，并独立承担相应的法律责任和经济责任。</w:t>
      </w:r>
    </w:p>
    <w:p w14:paraId="5C195865">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w:t>
      </w:r>
      <w:r>
        <w:rPr>
          <w:rFonts w:hint="eastAsia" w:ascii="仿宋" w:hAnsi="仿宋" w:eastAsia="仿宋" w:cs="仿宋"/>
          <w:sz w:val="28"/>
          <w:szCs w:val="28"/>
          <w:lang w:eastAsia="zh-CN"/>
        </w:rPr>
        <w:t>需</w:t>
      </w:r>
      <w:r>
        <w:rPr>
          <w:rFonts w:hint="eastAsia" w:ascii="仿宋" w:hAnsi="仿宋" w:eastAsia="仿宋" w:cs="仿宋"/>
          <w:sz w:val="28"/>
          <w:szCs w:val="28"/>
        </w:rPr>
        <w:t>服从甲方工作大局，做好与甲方各职能部门的协调和配合工作。未经甲方书面许可，乙方不得利用所管物业进行经营活动。</w:t>
      </w:r>
    </w:p>
    <w:p w14:paraId="4F1F9CB5">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12.如属乙方工作不作为或者工作过失造成甲方校内致第三方损害以及发生火灾和其它安全事故所产生的损失，乙方应承担相应的赔偿责任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甲方不承担任何责任</w:t>
      </w:r>
      <w:r>
        <w:rPr>
          <w:rFonts w:hint="eastAsia" w:ascii="仿宋" w:hAnsi="仿宋" w:eastAsia="仿宋" w:cs="仿宋"/>
          <w:sz w:val="28"/>
          <w:szCs w:val="28"/>
        </w:rPr>
        <w:t>。</w:t>
      </w:r>
    </w:p>
    <w:p w14:paraId="3F408858">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本合同终止当日，乙方无条件向甲方移交物业管理档案资料和退还属甲方所有的办公用房、仓库及其它各类设施物品、资料（合理损耗除外），并办理交接手续。乙方未按时履行交接手续或者移交手续未达到甲方要求的，履约保证金不予退还，并要求乙方赔偿甲方遭受的实际损失。</w:t>
      </w:r>
    </w:p>
    <w:p w14:paraId="2146AA20">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14.乙方不得以任何理由、形式转让管理权，如果出现企业挂靠、项目转包现象，甲方有权提前终止合同，履约保证金不予退还，且乙方需向甲方支付合同总金额10%的违约金，并承担由此给甲方造成的经济损失。</w:t>
      </w:r>
    </w:p>
    <w:p w14:paraId="5159FC23">
      <w:pPr>
        <w:tabs>
          <w:tab w:val="left" w:pos="420"/>
        </w:tabs>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九、合同的考核</w:t>
      </w:r>
    </w:p>
    <w:p w14:paraId="37992CCA">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1.考核组织单位</w:t>
      </w:r>
    </w:p>
    <w:p w14:paraId="7947AD9D">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依据合同约定的权利成立物业考核工作小组（简称</w:t>
      </w:r>
      <w:r>
        <w:rPr>
          <w:rFonts w:hint="eastAsia" w:ascii="仿宋" w:hAnsi="仿宋" w:eastAsia="仿宋" w:cs="仿宋"/>
          <w:sz w:val="28"/>
          <w:szCs w:val="28"/>
          <w:lang w:val="en-US" w:eastAsia="zh-CN"/>
        </w:rPr>
        <w:t>保障服务部</w:t>
      </w:r>
      <w:r>
        <w:rPr>
          <w:rFonts w:hint="eastAsia" w:ascii="仿宋" w:hAnsi="仿宋" w:eastAsia="仿宋" w:cs="仿宋"/>
          <w:sz w:val="28"/>
          <w:szCs w:val="28"/>
        </w:rPr>
        <w:t>考核小组），负责在规定时间内对乙方进行考核。</w:t>
      </w:r>
    </w:p>
    <w:p w14:paraId="6FD0E511">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2.质量要求和考核评分标准详见本合同（含附件）及招标文件（含补充文件）。</w:t>
      </w:r>
    </w:p>
    <w:p w14:paraId="6F0A1B4C">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3.考核评分办法及考核结果的使用详见本合同附件。</w:t>
      </w:r>
    </w:p>
    <w:p w14:paraId="63E2EF67">
      <w:pPr>
        <w:spacing w:line="53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十、</w:t>
      </w:r>
      <w:r>
        <w:rPr>
          <w:rFonts w:hint="eastAsia" w:ascii="仿宋" w:hAnsi="仿宋" w:eastAsia="仿宋" w:cs="仿宋"/>
          <w:b/>
          <w:bCs/>
          <w:sz w:val="28"/>
          <w:szCs w:val="28"/>
        </w:rPr>
        <w:t>合同的履约验收</w:t>
      </w:r>
    </w:p>
    <w:p w14:paraId="12E30D00">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1.履约验收组织单位</w:t>
      </w:r>
    </w:p>
    <w:p w14:paraId="216C4B17">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保障服务部履约验收</w:t>
      </w:r>
      <w:r>
        <w:rPr>
          <w:rFonts w:hint="eastAsia" w:ascii="仿宋" w:hAnsi="仿宋" w:eastAsia="仿宋" w:cs="仿宋"/>
          <w:sz w:val="28"/>
          <w:szCs w:val="28"/>
        </w:rPr>
        <w:t>小组</w:t>
      </w:r>
      <w:r>
        <w:rPr>
          <w:rFonts w:hint="eastAsia" w:ascii="仿宋" w:hAnsi="仿宋" w:eastAsia="仿宋" w:cs="仿宋"/>
          <w:sz w:val="28"/>
          <w:szCs w:val="28"/>
          <w:lang w:val="en-US" w:eastAsia="zh-CN"/>
        </w:rPr>
        <w:t>在月度</w:t>
      </w:r>
      <w:r>
        <w:rPr>
          <w:rFonts w:hint="eastAsia" w:ascii="仿宋" w:hAnsi="仿宋" w:eastAsia="仿宋" w:cs="仿宋"/>
          <w:sz w:val="28"/>
          <w:szCs w:val="28"/>
        </w:rPr>
        <w:t>考核的基础上对乙方的服务进行履约验收，每月</w:t>
      </w:r>
      <w:r>
        <w:rPr>
          <w:rFonts w:hint="eastAsia" w:ascii="仿宋" w:hAnsi="仿宋" w:eastAsia="仿宋" w:cs="仿宋"/>
          <w:sz w:val="28"/>
          <w:szCs w:val="28"/>
          <w:lang w:val="en-US" w:eastAsia="zh-CN"/>
        </w:rPr>
        <w:t>10</w:t>
      </w:r>
      <w:r>
        <w:rPr>
          <w:rFonts w:hint="eastAsia" w:ascii="仿宋" w:hAnsi="仿宋" w:eastAsia="仿宋" w:cs="仿宋"/>
          <w:sz w:val="28"/>
          <w:szCs w:val="28"/>
        </w:rPr>
        <w:t>日前完成上月度履约验收。</w:t>
      </w:r>
    </w:p>
    <w:p w14:paraId="4B2406B7">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2.履约验收的方式及结果使用</w:t>
      </w:r>
    </w:p>
    <w:p w14:paraId="35DAE213">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履约验收可选取以下三种方式进行。</w:t>
      </w:r>
    </w:p>
    <w:p w14:paraId="6842530F">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（1）每月采取相关人员座谈会的形式，实地查看，听取各方意见，做出继续或终止合同的决定。</w:t>
      </w:r>
    </w:p>
    <w:p w14:paraId="7293E15E">
      <w:pPr>
        <w:widowControl/>
        <w:spacing w:line="530" w:lineRule="exact"/>
        <w:ind w:firstLine="560" w:firstLineChars="200"/>
        <w:rPr>
          <w:rFonts w:hint="eastAsia" w:ascii="仿宋" w:hAnsi="仿宋" w:eastAsia="仿宋" w:cs="仿宋"/>
        </w:rPr>
      </w:pPr>
      <w:r>
        <w:rPr>
          <w:rFonts w:hint="eastAsia" w:ascii="仿宋" w:hAnsi="仿宋" w:eastAsia="仿宋" w:cs="仿宋"/>
          <w:sz w:val="28"/>
          <w:szCs w:val="28"/>
        </w:rPr>
        <w:t>（2）每月不定期对乙方的合同履约情况进行抽查验收。抽查验收依据本合同（含附件）及招投标文件（含补充文件）中日考核的相关规定执行</w:t>
      </w:r>
      <w:r>
        <w:rPr>
          <w:rFonts w:hint="eastAsia" w:ascii="仿宋" w:hAnsi="仿宋" w:eastAsia="仿宋" w:cs="仿宋"/>
          <w:sz w:val="28"/>
          <w:szCs w:val="28"/>
          <w:lang w:eastAsia="zh-CN"/>
        </w:rPr>
        <w:t>，</w:t>
      </w:r>
      <w:r>
        <w:rPr>
          <w:rFonts w:hint="eastAsia" w:ascii="仿宋" w:hAnsi="仿宋" w:eastAsia="仿宋" w:cs="仿宋"/>
          <w:sz w:val="28"/>
          <w:szCs w:val="28"/>
        </w:rPr>
        <w:t>需要整改的限期整改，连续两次二次验收不合格，甲方有权终止合同，履约保证金</w:t>
      </w:r>
      <w:r>
        <w:rPr>
          <w:rFonts w:hint="eastAsia" w:ascii="仿宋" w:hAnsi="仿宋" w:eastAsia="仿宋" w:cs="仿宋"/>
          <w:sz w:val="28"/>
          <w:szCs w:val="28"/>
          <w:lang w:val="en-US" w:eastAsia="zh-CN"/>
        </w:rPr>
        <w:t>不予退还</w:t>
      </w:r>
      <w:r>
        <w:rPr>
          <w:rFonts w:hint="eastAsia" w:ascii="仿宋" w:hAnsi="仿宋" w:eastAsia="仿宋" w:cs="仿宋"/>
          <w:sz w:val="28"/>
          <w:szCs w:val="28"/>
        </w:rPr>
        <w:t>。</w:t>
      </w:r>
    </w:p>
    <w:p w14:paraId="29820151">
      <w:pPr>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十一、合同的履行、变更和解除</w:t>
      </w:r>
    </w:p>
    <w:p w14:paraId="54D322ED">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1.合同签订后即具法律效力，甲乙双方均</w:t>
      </w:r>
      <w:r>
        <w:rPr>
          <w:rFonts w:hint="eastAsia" w:ascii="仿宋" w:hAnsi="仿宋" w:eastAsia="仿宋" w:cs="仿宋"/>
          <w:sz w:val="28"/>
          <w:szCs w:val="28"/>
          <w:lang w:eastAsia="zh-CN"/>
        </w:rPr>
        <w:t>需</w:t>
      </w:r>
      <w:r>
        <w:rPr>
          <w:rFonts w:hint="eastAsia" w:ascii="仿宋" w:hAnsi="仿宋" w:eastAsia="仿宋" w:cs="仿宋"/>
          <w:sz w:val="28"/>
          <w:szCs w:val="28"/>
        </w:rPr>
        <w:t>认真履行，不得随意解除合同。</w:t>
      </w:r>
    </w:p>
    <w:p w14:paraId="2289A706">
      <w:pPr>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2.甲乙双方不得擅自变更合同。如确需变更，</w:t>
      </w:r>
      <w:r>
        <w:rPr>
          <w:rFonts w:hint="eastAsia" w:ascii="仿宋" w:hAnsi="仿宋" w:eastAsia="仿宋" w:cs="仿宋"/>
          <w:sz w:val="28"/>
          <w:szCs w:val="28"/>
          <w:lang w:eastAsia="zh-CN"/>
        </w:rPr>
        <w:t>需</w:t>
      </w:r>
      <w:r>
        <w:rPr>
          <w:rFonts w:hint="eastAsia" w:ascii="仿宋" w:hAnsi="仿宋" w:eastAsia="仿宋" w:cs="仿宋"/>
          <w:sz w:val="28"/>
          <w:szCs w:val="28"/>
        </w:rPr>
        <w:t>经双方书面认可后方可变更。</w:t>
      </w:r>
    </w:p>
    <w:p w14:paraId="23F6CE6B">
      <w:pPr>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3.发生以下情况</w:t>
      </w:r>
      <w:r>
        <w:rPr>
          <w:rFonts w:hint="eastAsia" w:ascii="仿宋" w:hAnsi="仿宋" w:eastAsia="仿宋" w:cs="仿宋"/>
          <w:sz w:val="28"/>
          <w:szCs w:val="28"/>
          <w:lang w:val="en-US" w:eastAsia="zh-CN"/>
        </w:rPr>
        <w:t>之一</w:t>
      </w:r>
      <w:r>
        <w:rPr>
          <w:rFonts w:hint="eastAsia" w:ascii="仿宋" w:hAnsi="仿宋" w:eastAsia="仿宋" w:cs="仿宋"/>
          <w:sz w:val="28"/>
          <w:szCs w:val="28"/>
        </w:rPr>
        <w:t>，甲方通知乙方未及时整改的，甲方有权解除合同：</w:t>
      </w:r>
    </w:p>
    <w:p w14:paraId="1E645638">
      <w:pPr>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（1）乙方拒绝接受甲方管理的；</w:t>
      </w:r>
    </w:p>
    <w:p w14:paraId="5B3AA72B">
      <w:pPr>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（2）未能按约定履行合同义务；</w:t>
      </w:r>
    </w:p>
    <w:p w14:paraId="6A7414DE">
      <w:pPr>
        <w:pStyle w:val="19"/>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（3）若乙方在</w:t>
      </w:r>
      <w:r>
        <w:rPr>
          <w:rFonts w:hint="eastAsia" w:ascii="仿宋" w:hAnsi="仿宋" w:eastAsia="仿宋" w:cs="仿宋"/>
          <w:sz w:val="28"/>
          <w:szCs w:val="28"/>
          <w:lang w:val="en-US" w:eastAsia="zh-CN"/>
        </w:rPr>
        <w:t>连续两个</w:t>
      </w:r>
      <w:r>
        <w:rPr>
          <w:rFonts w:hint="eastAsia" w:ascii="仿宋" w:hAnsi="仿宋" w:eastAsia="仿宋" w:cs="仿宋"/>
          <w:sz w:val="28"/>
          <w:szCs w:val="28"/>
        </w:rPr>
        <w:t>月度</w:t>
      </w:r>
      <w:r>
        <w:rPr>
          <w:rFonts w:hint="eastAsia" w:ascii="仿宋" w:hAnsi="仿宋" w:eastAsia="仿宋" w:cs="仿宋"/>
          <w:sz w:val="28"/>
          <w:szCs w:val="28"/>
          <w:lang w:val="en-US" w:eastAsia="zh-CN"/>
        </w:rPr>
        <w:t>或累计三个月度</w:t>
      </w:r>
      <w:r>
        <w:rPr>
          <w:rFonts w:hint="eastAsia" w:ascii="仿宋" w:hAnsi="仿宋" w:eastAsia="仿宋" w:cs="仿宋"/>
          <w:sz w:val="28"/>
          <w:szCs w:val="28"/>
        </w:rPr>
        <w:t>考核中评分低于</w:t>
      </w:r>
      <w:r>
        <w:rPr>
          <w:rFonts w:hint="eastAsia" w:ascii="仿宋" w:hAnsi="仿宋" w:eastAsia="仿宋" w:cs="仿宋"/>
          <w:sz w:val="28"/>
          <w:szCs w:val="28"/>
          <w:lang w:val="en-US" w:eastAsia="zh-CN"/>
        </w:rPr>
        <w:t>60</w:t>
      </w:r>
      <w:r>
        <w:rPr>
          <w:rFonts w:hint="eastAsia" w:ascii="仿宋" w:hAnsi="仿宋" w:eastAsia="仿宋" w:cs="仿宋"/>
          <w:sz w:val="28"/>
          <w:szCs w:val="28"/>
        </w:rPr>
        <w:t>分（不含</w:t>
      </w:r>
      <w:r>
        <w:rPr>
          <w:rFonts w:hint="eastAsia" w:ascii="仿宋" w:hAnsi="仿宋" w:eastAsia="仿宋" w:cs="仿宋"/>
          <w:sz w:val="28"/>
          <w:szCs w:val="28"/>
          <w:lang w:val="en-US" w:eastAsia="zh-CN"/>
        </w:rPr>
        <w:t>60</w:t>
      </w:r>
      <w:r>
        <w:rPr>
          <w:rFonts w:hint="eastAsia" w:ascii="仿宋" w:hAnsi="仿宋" w:eastAsia="仿宋" w:cs="仿宋"/>
          <w:sz w:val="28"/>
          <w:szCs w:val="28"/>
        </w:rPr>
        <w:t>分，具体考核方式和标准见附件），或每月甲方履约验收小组抽查验收，连续两次</w:t>
      </w:r>
      <w:r>
        <w:rPr>
          <w:rFonts w:hint="eastAsia" w:ascii="仿宋" w:hAnsi="仿宋" w:eastAsia="仿宋" w:cs="仿宋"/>
          <w:sz w:val="28"/>
          <w:szCs w:val="28"/>
          <w:lang w:val="en-US" w:eastAsia="zh-CN"/>
        </w:rPr>
        <w:t>二次</w:t>
      </w:r>
      <w:r>
        <w:rPr>
          <w:rFonts w:hint="eastAsia" w:ascii="仿宋" w:hAnsi="仿宋" w:eastAsia="仿宋" w:cs="仿宋"/>
          <w:sz w:val="28"/>
          <w:szCs w:val="28"/>
        </w:rPr>
        <w:t>验收不合格的；</w:t>
      </w:r>
    </w:p>
    <w:p w14:paraId="18CB7577">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（4）因乙方原因给甲方造成信誉和经济等方面重大损失的；</w:t>
      </w:r>
    </w:p>
    <w:p w14:paraId="22D38BB2">
      <w:pPr>
        <w:widowControl/>
        <w:spacing w:line="530" w:lineRule="exact"/>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（5）</w:t>
      </w:r>
      <w:r>
        <w:rPr>
          <w:rFonts w:hint="eastAsia" w:ascii="仿宋" w:hAnsi="仿宋" w:eastAsia="仿宋" w:cs="仿宋"/>
          <w:color w:val="000000"/>
          <w:sz w:val="28"/>
          <w:szCs w:val="28"/>
        </w:rPr>
        <w:t>擅自将本合同中所规定的权利、义务转让或转包的；</w:t>
      </w:r>
    </w:p>
    <w:p w14:paraId="709A3521">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（6）考核办法见附件。</w:t>
      </w:r>
    </w:p>
    <w:p w14:paraId="35347D88">
      <w:pPr>
        <w:pStyle w:val="19"/>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4.若乙方在招投标过程中存在违法违规行为，经查证属实，甲方有权单方解除合同。乙方应当无条件退场，并赔偿对甲方造成的损失。</w:t>
      </w:r>
    </w:p>
    <w:p w14:paraId="14EBC7C8">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5.本合同期内，经双方协商一致同意可以提前终止本合同。</w:t>
      </w:r>
    </w:p>
    <w:p w14:paraId="10E35614">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6.如在合同期内任何一方欲无故提出终止合同的要求（因未履行合同约定、责任事故、考核不达标等终止合同的情况不在此列），</w:t>
      </w:r>
      <w:r>
        <w:rPr>
          <w:rFonts w:hint="eastAsia" w:ascii="仿宋" w:hAnsi="仿宋" w:eastAsia="仿宋" w:cs="仿宋"/>
          <w:sz w:val="28"/>
          <w:szCs w:val="28"/>
          <w:lang w:eastAsia="zh-CN"/>
        </w:rPr>
        <w:t>需</w:t>
      </w:r>
      <w:r>
        <w:rPr>
          <w:rFonts w:hint="eastAsia" w:ascii="仿宋" w:hAnsi="仿宋" w:eastAsia="仿宋" w:cs="仿宋"/>
          <w:sz w:val="28"/>
          <w:szCs w:val="28"/>
        </w:rPr>
        <w:t>提前3个月以书面形式通知对方，并向对方支付违约金</w:t>
      </w:r>
      <w:r>
        <w:rPr>
          <w:rFonts w:hint="eastAsia" w:ascii="仿宋" w:hAnsi="仿宋" w:eastAsia="仿宋" w:cs="仿宋"/>
          <w:sz w:val="28"/>
          <w:szCs w:val="28"/>
          <w:lang w:val="en-US" w:eastAsia="zh-CN"/>
        </w:rPr>
        <w:t>叁</w:t>
      </w:r>
      <w:r>
        <w:rPr>
          <w:rFonts w:hint="eastAsia" w:ascii="仿宋" w:hAnsi="仿宋" w:eastAsia="仿宋" w:cs="仿宋"/>
          <w:sz w:val="28"/>
          <w:szCs w:val="28"/>
        </w:rPr>
        <w:t>拾万元。</w:t>
      </w:r>
    </w:p>
    <w:p w14:paraId="7E937DB1">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7.本合同终止时，不应免除在终止日或之前存在的法律责任。</w:t>
      </w:r>
    </w:p>
    <w:p w14:paraId="059DFB0B">
      <w:pPr>
        <w:adjustRightInd w:val="0"/>
        <w:snapToGrid w:val="0"/>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十二、违约责任</w:t>
      </w:r>
    </w:p>
    <w:p w14:paraId="384CEB35">
      <w:pPr>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1.除因战争，严重水灾、台风、地震等自然灾害，政府政策的重大变动等政府行为和其它甲乙双方认可的不可抗力事件外，甲乙双方不得随意解除合同，否则按违约处理。</w:t>
      </w:r>
    </w:p>
    <w:p w14:paraId="4C8CEBD8">
      <w:pPr>
        <w:pStyle w:val="284"/>
        <w:adjustRightInd w:val="0"/>
        <w:snapToGrid w:val="0"/>
        <w:spacing w:line="53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2.当违约损失超过履约保证金时，超过部分甲方有权从合同总价款中扣</w:t>
      </w:r>
      <w:r>
        <w:rPr>
          <w:rFonts w:hint="eastAsia" w:ascii="仿宋" w:hAnsi="仿宋" w:eastAsia="仿宋" w:cs="仿宋"/>
          <w:color w:val="000000"/>
          <w:kern w:val="0"/>
          <w:sz w:val="28"/>
          <w:szCs w:val="28"/>
        </w:rPr>
        <w:t>除或要求乙方另行支付，用于补偿违约损失不足的部分。</w:t>
      </w:r>
    </w:p>
    <w:p w14:paraId="605B8BDC">
      <w:pPr>
        <w:pStyle w:val="19"/>
        <w:spacing w:line="53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3.在合同期内，若乙方出现违约行为，将不予退还履约保证金。履约保证金被扣除后余额不足的，乙方</w:t>
      </w:r>
      <w:r>
        <w:rPr>
          <w:rFonts w:hint="eastAsia" w:ascii="仿宋" w:hAnsi="仿宋" w:eastAsia="仿宋" w:cs="仿宋"/>
          <w:color w:val="000000"/>
          <w:kern w:val="0"/>
          <w:sz w:val="28"/>
          <w:szCs w:val="28"/>
          <w:lang w:eastAsia="zh-CN"/>
        </w:rPr>
        <w:t>需</w:t>
      </w:r>
      <w:r>
        <w:rPr>
          <w:rFonts w:hint="eastAsia" w:ascii="仿宋" w:hAnsi="仿宋" w:eastAsia="仿宋" w:cs="仿宋"/>
          <w:color w:val="000000"/>
          <w:kern w:val="0"/>
          <w:sz w:val="28"/>
          <w:szCs w:val="28"/>
        </w:rPr>
        <w:t>在3天内补足或者甲方有权从未结算的物业服务费中扣除</w:t>
      </w:r>
    </w:p>
    <w:p w14:paraId="4EFCDAE4">
      <w:pPr>
        <w:pStyle w:val="284"/>
        <w:adjustRightInd w:val="0"/>
        <w:snapToGrid w:val="0"/>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4.在管理过程中，因下列事由所致的损害，乙方不负赔偿责任：</w:t>
      </w:r>
    </w:p>
    <w:p w14:paraId="6E2B9E98">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（1）天灾、地震等自然灾害不可抗力的事由所致的伤害；</w:t>
      </w:r>
    </w:p>
    <w:p w14:paraId="6DA70132">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（2）甲方自理的共用设施设备出现安全隐患等问题，乙方已书面指出，因甲方未受纳或未及时采取措施所致的伤害；</w:t>
      </w:r>
    </w:p>
    <w:p w14:paraId="074B10CB">
      <w:pPr>
        <w:pStyle w:val="19"/>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（3）由于物业本体及设施设备自身设计、安装、施工等缺陷和质量导致的设施设备运行中出现问题造成的损失和伤害，乙方及时发现并通知甲方该缺陷与隐患所导致的损失除外；</w:t>
      </w:r>
    </w:p>
    <w:p w14:paraId="3053BF69">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（4）由于甲方或物业使用人的自身责任导致的自身和第三方的伤害和损失。</w:t>
      </w:r>
    </w:p>
    <w:p w14:paraId="1DC35E7B">
      <w:pPr>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十三、争议解决方式和管辖</w:t>
      </w:r>
    </w:p>
    <w:p w14:paraId="1DB2F6D0">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因服务（设备）的质量问题发生争议以及履行本合同发生争议的，以本合同条款为标准协商解决，若协商无果，任何一方均可向合同签订地的人民法院提起诉讼，双方约定应在甲方所在地签订合同。</w:t>
      </w:r>
    </w:p>
    <w:p w14:paraId="6473D53A">
      <w:pPr>
        <w:spacing w:line="53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十四、生效及其它</w:t>
      </w:r>
    </w:p>
    <w:p w14:paraId="44A960AA">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1.本合同一式陆份，甲方肆份、乙方贰份，具有同等法律效力。</w:t>
      </w:r>
    </w:p>
    <w:p w14:paraId="046D87CB">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2.本合同自甲、乙双方签字且盖章之日起生效，合同生效后项目方可实施，如出现未签订合同而实施项目的情况，将对项目单位和乙方按有关规定做出相应处理。</w:t>
      </w:r>
    </w:p>
    <w:p w14:paraId="335EAD8C">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3.甲方项目单位负责人是本合同甲方的第一责任人，本合同的解释权在项目单位，合同履行过程中出现的问题和纠纷由项目单位代表学校予以处理。</w:t>
      </w:r>
    </w:p>
    <w:p w14:paraId="10AE7695">
      <w:pPr>
        <w:pStyle w:val="19"/>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组成本合同的文件及解释顺序为：本合同和合同附件及补充条款、中标通知书、投标（响应性）文件及其附件；招标（采购）文件及补充通知。如果乙方的投标（响应性）文件及其附件高于国家行业标准的，以投标文件及其附件为准。</w:t>
      </w:r>
    </w:p>
    <w:p w14:paraId="5EBB97EE">
      <w:pPr>
        <w:widowControl/>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5.如有未尽事宜，甲、乙双方可另行协商签订补充协议，补充协议及招、投标文件、质疑答复、附件和本合同具有同等法律效力。补充协议与本合同存在冲突的，以补充协议为准。</w:t>
      </w:r>
    </w:p>
    <w:p w14:paraId="0355F1DE">
      <w:pPr>
        <w:spacing w:line="53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6.本合同生效之后，任何一方违反本合同规定，除了承担违约责任外，还要承担守约方向违约方追究违约责任所支付的</w:t>
      </w:r>
      <w:r>
        <w:rPr>
          <w:rFonts w:hint="eastAsia" w:ascii="仿宋" w:hAnsi="仿宋" w:eastAsia="仿宋" w:cs="仿宋"/>
          <w:sz w:val="28"/>
          <w:szCs w:val="28"/>
          <w:lang w:val="en-US" w:eastAsia="zh-CN"/>
        </w:rPr>
        <w:t>合理</w:t>
      </w:r>
      <w:r>
        <w:rPr>
          <w:rFonts w:hint="eastAsia" w:ascii="仿宋" w:hAnsi="仿宋" w:eastAsia="仿宋" w:cs="仿宋"/>
          <w:sz w:val="28"/>
          <w:szCs w:val="28"/>
        </w:rPr>
        <w:t>费用，包括但不限于律师费、诉讼费、保全费、公告费、鉴定费、交通食宿费等。</w:t>
      </w:r>
    </w:p>
    <w:p w14:paraId="427B60AA">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（以下无正文，为合同签署页）</w:t>
      </w:r>
    </w:p>
    <w:p w14:paraId="42152669">
      <w:pPr>
        <w:pStyle w:val="71"/>
        <w:ind w:firstLine="600"/>
        <w:rPr>
          <w:rFonts w:hint="eastAsia" w:ascii="仿宋" w:hAnsi="仿宋" w:eastAsia="仿宋" w:cs="仿宋"/>
          <w:sz w:val="28"/>
          <w:szCs w:val="28"/>
        </w:rPr>
      </w:pPr>
    </w:p>
    <w:p w14:paraId="3A5D8B6F">
      <w:pPr>
        <w:rPr>
          <w:rFonts w:hint="eastAsia" w:ascii="仿宋" w:hAnsi="仿宋" w:eastAsia="仿宋" w:cs="仿宋"/>
          <w:sz w:val="28"/>
          <w:szCs w:val="28"/>
        </w:rPr>
      </w:pPr>
    </w:p>
    <w:p w14:paraId="077C4024">
      <w:pPr>
        <w:spacing w:line="560" w:lineRule="exact"/>
        <w:ind w:left="5100" w:hanging="4760" w:hangingChars="1700"/>
        <w:rPr>
          <w:rFonts w:hint="eastAsia" w:ascii="仿宋" w:hAnsi="仿宋" w:eastAsia="仿宋" w:cs="仿宋"/>
          <w:sz w:val="28"/>
          <w:szCs w:val="28"/>
        </w:rPr>
      </w:pPr>
    </w:p>
    <w:p w14:paraId="05851115">
      <w:pPr>
        <w:spacing w:line="560" w:lineRule="exact"/>
        <w:ind w:left="5100" w:hanging="4760" w:hangingChars="1700"/>
        <w:rPr>
          <w:rFonts w:hint="eastAsia" w:ascii="仿宋" w:hAnsi="仿宋" w:eastAsia="仿宋" w:cs="仿宋"/>
          <w:sz w:val="28"/>
          <w:szCs w:val="28"/>
        </w:rPr>
      </w:pPr>
    </w:p>
    <w:p w14:paraId="20A2A14D">
      <w:pPr>
        <w:spacing w:line="560" w:lineRule="exact"/>
        <w:ind w:left="5100" w:hanging="4760" w:hangingChars="1700"/>
        <w:rPr>
          <w:rFonts w:hint="eastAsia" w:ascii="仿宋" w:hAnsi="仿宋" w:eastAsia="仿宋" w:cs="仿宋"/>
          <w:sz w:val="28"/>
          <w:szCs w:val="28"/>
        </w:rPr>
      </w:pPr>
      <w:r>
        <w:rPr>
          <w:rFonts w:hint="eastAsia" w:ascii="仿宋" w:hAnsi="仿宋" w:eastAsia="仿宋" w:cs="仿宋"/>
          <w:sz w:val="28"/>
          <w:szCs w:val="28"/>
        </w:rPr>
        <w:t>甲方名称：   （公章）          乙方名称：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（公章）</w:t>
      </w:r>
    </w:p>
    <w:p w14:paraId="31EE61F9">
      <w:pPr>
        <w:spacing w:line="560" w:lineRule="exact"/>
        <w:rPr>
          <w:rFonts w:hint="eastAsia" w:ascii="仿宋" w:hAnsi="仿宋" w:eastAsia="仿宋" w:cs="仿宋"/>
          <w:sz w:val="28"/>
          <w:szCs w:val="28"/>
        </w:rPr>
      </w:pPr>
      <w:r>
        <w:rPr>
          <w:rFonts w:hint="eastAsia" w:ascii="仿宋" w:hAnsi="仿宋" w:eastAsia="仿宋" w:cs="仿宋"/>
          <w:sz w:val="28"/>
          <w:szCs w:val="28"/>
        </w:rPr>
        <w:t>甲方代表（授权）签字：         乙方代表（授权）签字：</w:t>
      </w:r>
    </w:p>
    <w:p w14:paraId="5E01CDB2">
      <w:pPr>
        <w:spacing w:line="560" w:lineRule="exact"/>
        <w:rPr>
          <w:rFonts w:hint="eastAsia" w:ascii="仿宋" w:hAnsi="仿宋" w:eastAsia="仿宋" w:cs="仿宋"/>
          <w:sz w:val="28"/>
          <w:szCs w:val="28"/>
        </w:rPr>
      </w:pPr>
      <w:r>
        <w:rPr>
          <w:rFonts w:hint="eastAsia" w:ascii="仿宋" w:hAnsi="仿宋" w:eastAsia="仿宋" w:cs="仿宋"/>
          <w:sz w:val="28"/>
          <w:szCs w:val="28"/>
        </w:rPr>
        <w:t>甲方联系方式：                 乙方联系方式：</w:t>
      </w:r>
    </w:p>
    <w:p w14:paraId="6656C0DF">
      <w:pPr>
        <w:spacing w:line="560" w:lineRule="exact"/>
        <w:ind w:left="4800" w:hanging="4480" w:hangingChars="1600"/>
        <w:rPr>
          <w:rFonts w:hint="eastAsia" w:ascii="仿宋" w:hAnsi="仿宋" w:eastAsia="仿宋" w:cs="仿宋"/>
          <w:sz w:val="28"/>
          <w:szCs w:val="28"/>
        </w:rPr>
      </w:pPr>
      <w:r>
        <w:rPr>
          <w:rFonts w:hint="eastAsia" w:ascii="仿宋" w:hAnsi="仿宋" w:eastAsia="仿宋" w:cs="仿宋"/>
          <w:sz w:val="28"/>
          <w:szCs w:val="28"/>
        </w:rPr>
        <w:t>甲方地址：                     乙方地址：</w:t>
      </w:r>
    </w:p>
    <w:p w14:paraId="282968E8">
      <w:pPr>
        <w:spacing w:line="560" w:lineRule="exact"/>
        <w:ind w:left="4800" w:hanging="4480" w:hangingChars="1600"/>
        <w:rPr>
          <w:rFonts w:hint="eastAsia" w:ascii="仿宋" w:hAnsi="仿宋" w:eastAsia="仿宋" w:cs="仿宋"/>
          <w:sz w:val="28"/>
          <w:szCs w:val="28"/>
        </w:rPr>
      </w:pPr>
      <w:r>
        <w:rPr>
          <w:rFonts w:hint="eastAsia" w:ascii="仿宋" w:hAnsi="仿宋" w:eastAsia="仿宋" w:cs="仿宋"/>
          <w:sz w:val="28"/>
          <w:szCs w:val="28"/>
        </w:rPr>
        <w:t>开户银行：                     开户银行：</w:t>
      </w:r>
    </w:p>
    <w:p w14:paraId="47A40BC8">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账号：                         账号： </w:t>
      </w:r>
    </w:p>
    <w:p w14:paraId="7E3A6F13">
      <w:pPr>
        <w:spacing w:line="560" w:lineRule="exact"/>
        <w:rPr>
          <w:rFonts w:hint="eastAsia" w:ascii="仿宋" w:hAnsi="仿宋" w:eastAsia="仿宋" w:cs="仿宋"/>
          <w:sz w:val="28"/>
          <w:szCs w:val="28"/>
        </w:rPr>
      </w:pPr>
      <w:r>
        <w:rPr>
          <w:rFonts w:hint="eastAsia" w:ascii="仿宋" w:hAnsi="仿宋" w:eastAsia="仿宋" w:cs="仿宋"/>
          <w:sz w:val="28"/>
          <w:szCs w:val="28"/>
        </w:rPr>
        <w:t>签订日期：                     签订日期：</w:t>
      </w:r>
    </w:p>
    <w:p w14:paraId="1F9ABCD3">
      <w:pPr>
        <w:pageBreakBefore w:val="0"/>
        <w:wordWrap/>
        <w:topLinePunct w:val="0"/>
        <w:bidi w:val="0"/>
        <w:spacing w:line="360" w:lineRule="auto"/>
        <w:jc w:val="center"/>
        <w:rPr>
          <w:rFonts w:hint="eastAsia" w:ascii="仿宋" w:hAnsi="仿宋" w:eastAsia="仿宋" w:cs="仿宋"/>
        </w:rPr>
      </w:pPr>
    </w:p>
    <w:bookmarkEnd w:id="611"/>
    <w:bookmarkEnd w:id="612"/>
    <w:bookmarkEnd w:id="613"/>
    <w:p w14:paraId="53E97CD3">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2A5314CF">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617C3526">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581BE9B5">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64C8286D">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33B31318">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300B6FC0">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382D1B0A">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7AEAB901">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7F972B01">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6225DEDD">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2A93C22D">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r>
        <w:rPr>
          <w:rFonts w:hint="eastAsia" w:ascii="仿宋" w:hAnsi="仿宋" w:eastAsia="仿宋" w:cs="仿宋"/>
          <w:sz w:val="28"/>
          <w:szCs w:val="28"/>
          <w:lang w:eastAsia="zh-CN"/>
        </w:rPr>
        <w:t>河南财经政法大学郑东校区物业管理服务考核办法</w:t>
      </w:r>
    </w:p>
    <w:p w14:paraId="3DEB1181">
      <w:pPr>
        <w:pageBreakBefore w:val="0"/>
        <w:kinsoku/>
        <w:wordWrap/>
        <w:overflowPunct/>
        <w:topLinePunct w:val="0"/>
        <w:bidi w:val="0"/>
        <w:spacing w:line="240" w:lineRule="auto"/>
        <w:ind w:left="0" w:leftChars="0" w:right="0"/>
        <w:jc w:val="center"/>
        <w:outlineLvl w:val="9"/>
        <w:rPr>
          <w:rFonts w:hint="eastAsia" w:ascii="宋体" w:hAnsi="宋体" w:eastAsia="Arial Unicode MS" w:cs="宋体"/>
          <w:b/>
          <w:kern w:val="0"/>
          <w:sz w:val="20"/>
          <w:szCs w:val="20"/>
          <w:lang w:val="en-US" w:eastAsia="zh-CN"/>
        </w:rPr>
      </w:pPr>
    </w:p>
    <w:p w14:paraId="03860946">
      <w:pPr>
        <w:keepNext w:val="0"/>
        <w:keepLines w:val="0"/>
        <w:pageBreakBefore w:val="0"/>
        <w:kinsoku/>
        <w:wordWrap/>
        <w:overflowPunct/>
        <w:topLinePunct w:val="0"/>
        <w:autoSpaceDE/>
        <w:autoSpaceDN/>
        <w:bidi w:val="0"/>
        <w:adjustRightInd/>
        <w:snapToGrid/>
        <w:spacing w:line="360" w:lineRule="auto"/>
        <w:ind w:left="0" w:leftChars="0" w:right="0"/>
        <w:jc w:val="center"/>
        <w:textAlignment w:val="auto"/>
        <w:outlineLvl w:val="9"/>
        <w:rPr>
          <w:rFonts w:hint="eastAsia" w:ascii="仿宋" w:hAnsi="仿宋" w:eastAsia="仿宋" w:cs="仿宋"/>
          <w:b/>
          <w:kern w:val="0"/>
          <w:sz w:val="28"/>
          <w:szCs w:val="28"/>
        </w:rPr>
      </w:pPr>
      <w:r>
        <w:rPr>
          <w:rFonts w:hint="eastAsia" w:ascii="仿宋" w:hAnsi="仿宋" w:eastAsia="仿宋" w:cs="仿宋"/>
          <w:b/>
          <w:kern w:val="0"/>
          <w:sz w:val="28"/>
          <w:szCs w:val="28"/>
        </w:rPr>
        <w:t>河南财经政法大学郑东校区物业管理服务考核办法</w:t>
      </w:r>
    </w:p>
    <w:p w14:paraId="6B6625F9">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为了规范在校物业企业服务行为，监督物业服务企业有效履行合同，提升物业服务水平，根据中华人民共和国国务院《物业管理条例》、</w:t>
      </w:r>
      <w:r>
        <w:rPr>
          <w:rFonts w:hint="eastAsia" w:ascii="仿宋" w:hAnsi="仿宋" w:eastAsia="仿宋" w:cs="仿宋"/>
          <w:sz w:val="28"/>
          <w:szCs w:val="28"/>
          <w:lang w:val="en-US" w:eastAsia="zh-CN"/>
        </w:rPr>
        <w:t>《河南省物业管理条例》</w:t>
      </w:r>
      <w:r>
        <w:rPr>
          <w:rFonts w:hint="eastAsia" w:ascii="仿宋" w:hAnsi="仿宋" w:eastAsia="仿宋" w:cs="仿宋"/>
          <w:sz w:val="28"/>
          <w:szCs w:val="28"/>
          <w:lang w:eastAsia="zh-CN"/>
        </w:rPr>
        <w:t>等相关规定，结合我校物业管理工作实际情况，制定本办法。</w:t>
      </w:r>
    </w:p>
    <w:p w14:paraId="43D285D7">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第一条 适用范围</w:t>
      </w:r>
    </w:p>
    <w:p w14:paraId="440A0108">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本办法适用于</w:t>
      </w:r>
      <w:r>
        <w:rPr>
          <w:rFonts w:hint="eastAsia" w:ascii="仿宋" w:hAnsi="仿宋" w:eastAsia="仿宋" w:cs="仿宋"/>
          <w:sz w:val="28"/>
          <w:szCs w:val="28"/>
          <w:lang w:val="en-US" w:eastAsia="zh-CN"/>
        </w:rPr>
        <w:t>保障服务部</w:t>
      </w:r>
      <w:r>
        <w:rPr>
          <w:rFonts w:hint="eastAsia" w:ascii="仿宋" w:hAnsi="仿宋" w:eastAsia="仿宋" w:cs="仿宋"/>
          <w:sz w:val="28"/>
          <w:szCs w:val="28"/>
          <w:lang w:eastAsia="zh-CN"/>
        </w:rPr>
        <w:t>管辖范围内提供物业管理服务的物业服务企业。</w:t>
      </w:r>
    </w:p>
    <w:p w14:paraId="22214FEF">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第二条 考评原则</w:t>
      </w:r>
    </w:p>
    <w:p w14:paraId="11F97FFB">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物业管理考核坚持以合同、招投标文件管理为基础，通过量化考核指标，完善对物业服务企业的日常管理，规范物业公司服务行为，更好地服务全校师生。坚持以下原则：</w:t>
      </w:r>
    </w:p>
    <w:p w14:paraId="769D85B1">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（一）公开、公平、公正及实事求是的原则；</w:t>
      </w:r>
    </w:p>
    <w:p w14:paraId="3EABA1E5">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（二）外检与内控相结合，整体考评与专项考评相结合的原则；</w:t>
      </w:r>
    </w:p>
    <w:p w14:paraId="469BF658">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（三）专业量化的原则。</w:t>
      </w:r>
    </w:p>
    <w:p w14:paraId="61DD6214">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第三条 考评机构</w:t>
      </w:r>
    </w:p>
    <w:p w14:paraId="00BC2873">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（一）为维护我校合法权益，实现物业服务社会化的目标，</w:t>
      </w:r>
      <w:r>
        <w:rPr>
          <w:rFonts w:hint="eastAsia" w:ascii="仿宋" w:hAnsi="仿宋" w:eastAsia="仿宋" w:cs="仿宋"/>
          <w:sz w:val="28"/>
          <w:szCs w:val="28"/>
          <w:lang w:val="en-US" w:eastAsia="zh-CN"/>
        </w:rPr>
        <w:t>保障服务部作为</w:t>
      </w:r>
      <w:r>
        <w:rPr>
          <w:rFonts w:hint="eastAsia" w:ascii="仿宋" w:hAnsi="仿宋" w:eastAsia="仿宋" w:cs="仿宋"/>
          <w:sz w:val="28"/>
          <w:szCs w:val="28"/>
          <w:lang w:eastAsia="zh-CN"/>
        </w:rPr>
        <w:t>物业管理监管的具体实施机构，代表校方对物业服务企业的服务行为进行监督和管理。</w:t>
      </w:r>
    </w:p>
    <w:p w14:paraId="0017969E">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sz w:val="28"/>
          <w:szCs w:val="28"/>
          <w:lang w:val="en-US" w:eastAsia="zh-CN"/>
        </w:rPr>
        <w:t>保障服务部</w:t>
      </w:r>
      <w:r>
        <w:rPr>
          <w:rFonts w:hint="eastAsia" w:ascii="仿宋" w:hAnsi="仿宋" w:eastAsia="仿宋" w:cs="仿宋"/>
          <w:sz w:val="28"/>
          <w:szCs w:val="28"/>
          <w:lang w:eastAsia="zh-CN"/>
        </w:rPr>
        <w:t>根据物业服务项目成立相应的物业服务监管考评工作小组（以下简称考评小组），负责对物业服务企业的服务水平和质量进行综合考评。考评小组由</w:t>
      </w:r>
      <w:r>
        <w:rPr>
          <w:rFonts w:hint="eastAsia" w:ascii="仿宋" w:hAnsi="仿宋" w:eastAsia="仿宋" w:cs="仿宋"/>
          <w:sz w:val="28"/>
          <w:szCs w:val="28"/>
          <w:lang w:val="en-US" w:eastAsia="zh-CN"/>
        </w:rPr>
        <w:t>保障服务部</w:t>
      </w:r>
      <w:r>
        <w:rPr>
          <w:rFonts w:hint="eastAsia" w:ascii="仿宋" w:hAnsi="仿宋" w:eastAsia="仿宋" w:cs="仿宋"/>
          <w:sz w:val="28"/>
          <w:szCs w:val="28"/>
          <w:lang w:eastAsia="zh-CN"/>
        </w:rPr>
        <w:t>各职能科室负责人及相关管理人员组成。</w:t>
      </w:r>
    </w:p>
    <w:p w14:paraId="3EACAE2C">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第四条 考评内容</w:t>
      </w:r>
    </w:p>
    <w:p w14:paraId="286D82CF">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考评内容包括楼宇保洁服务项、食堂保洁服务项、校园绿化养护和垃圾清运服务项、秩序维护服务项、学生公寓管理服务项、维修维护管理服务项。</w:t>
      </w:r>
    </w:p>
    <w:p w14:paraId="28B8CAD1">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第五条 考评方式</w:t>
      </w:r>
    </w:p>
    <w:p w14:paraId="56DDB3AC">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考评方式包括日常督查、月度考评。</w:t>
      </w:r>
    </w:p>
    <w:p w14:paraId="518A8957">
      <w:pPr>
        <w:keepNext w:val="0"/>
        <w:keepLines w:val="0"/>
        <w:pageBreakBefore w:val="0"/>
        <w:kinsoku/>
        <w:wordWrap/>
        <w:overflowPunct/>
        <w:topLinePunct w:val="0"/>
        <w:autoSpaceDE/>
        <w:autoSpaceDN/>
        <w:bidi w:val="0"/>
        <w:adjustRightInd/>
        <w:snapToGrid/>
        <w:spacing w:line="360" w:lineRule="auto"/>
        <w:ind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（一）日常督查</w:t>
      </w:r>
    </w:p>
    <w:p w14:paraId="59F02CF5">
      <w:pPr>
        <w:keepNext w:val="0"/>
        <w:keepLines w:val="0"/>
        <w:pageBreakBefore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日常巡查。由保障服务部相关职能科室负责，根据《考评量化分数表》，扣除相应分值并罚款，每项罚款200元。二是由保障服务部考核领导小组每月对所有服务内容的检查。根据《考评量化分数表》，扣除相应分值并罚款，每项罚款300元。三是学校检查。对校领导在检查中指出的问题，根据《考评量化分数表》扣除相应分值并罚款，每项罚款500元。四是应急巡查。指应对重大活动保障、文明检查、市容考评等进行专项巡查，根据《考评量化分数表》，扣除相应分值并罚款，罚款数额根据发现问题的情况处以200元、300元或500元罚款。四是师生投诉。对校长信箱、部长邮箱、综合信息服务平台等途径收集到的投诉，根据投诉内容，由物业考核领导小组综合评判后，根据《考评量化分数表》，扣除相应分值并罚款300元。</w:t>
      </w:r>
    </w:p>
    <w:p w14:paraId="0FF5C32D">
      <w:pPr>
        <w:keepNext w:val="0"/>
        <w:keepLines w:val="0"/>
        <w:pageBreakBefore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（二）月度考评</w:t>
      </w:r>
    </w:p>
    <w:p w14:paraId="75294606">
      <w:pPr>
        <w:keepNext w:val="0"/>
        <w:keepLines w:val="0"/>
        <w:pageBreakBefore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一是中标人对当月物业管理服务工作进行自评，提交自评材料（含月度考核表自评得分、当月工作小结、下月工作计划以及各项物业管理工作制度、表格和记录资料等）。</w:t>
      </w:r>
    </w:p>
    <w:p w14:paraId="2FE13BFA">
      <w:pPr>
        <w:keepNext w:val="0"/>
        <w:keepLines w:val="0"/>
        <w:pageBreakBefore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二是月度考评每月进行一次，寒暑假期间可延至假期结束后组织。月度考评由考评小组综合日考评情况进行，结束后由考评小组出具月度考评结果。</w:t>
      </w:r>
    </w:p>
    <w:p w14:paraId="30C4C1CA">
      <w:pPr>
        <w:keepNext w:val="0"/>
        <w:keepLines w:val="0"/>
        <w:pageBreakBefore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三是月度考评结果作为物业管理费支付的参考依据，月度考核总评分为六个考核项的平均分。</w:t>
      </w:r>
    </w:p>
    <w:p w14:paraId="66E4B3B0">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月度考评总评分达到90分以上（含90分）支付当月服务费；80分（含80分）-89分，扣除当月服务费的1%；70分（含70分）-79分，扣除服务费的3%；60分（含60分）-69分，扣除当月服务费的5%；低于60分，扣除全部月度费用，连续两个月或累计三个月月度考评低于60分，按合同约定解除服务合同。</w:t>
      </w:r>
    </w:p>
    <w:p w14:paraId="19ECF04C">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highlight w:val="none"/>
          <w:lang w:val="en-US" w:eastAsia="zh-CN"/>
        </w:rPr>
        <w:t>第六条 考核及调查将根据公平、公正、公开</w:t>
      </w:r>
      <w:r>
        <w:rPr>
          <w:rFonts w:hint="eastAsia" w:ascii="仿宋" w:hAnsi="仿宋" w:eastAsia="仿宋" w:cs="仿宋"/>
          <w:bCs/>
          <w:sz w:val="28"/>
          <w:szCs w:val="28"/>
          <w:lang w:val="en-US" w:eastAsia="zh-CN"/>
        </w:rPr>
        <w:t>和实事求是原则，并结合扣分项目分析、确认责任方，如属非物业服务企业原因或不可抗力原因等造成物业管理服务质量达不到标准的不扣分。不管任何原因造成物业管理服务质量达不到标准的，物业服务企业能在本考核月内针对发现的问题及时改善并能达到管理要求，该问题可酌情不作扣分处理。物业服务企业提供超值服务并获得保障服务部认可，可适当加分。</w:t>
      </w:r>
    </w:p>
    <w:p w14:paraId="01EC1AC7">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第七条 相关职能科室根据本办法以及物业服务项目实际情况制定实施细则。</w:t>
      </w:r>
    </w:p>
    <w:p w14:paraId="290C7AFE">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第八条 本办法自下文之日起执行，由保障服务部办公室负责解释。</w:t>
      </w:r>
    </w:p>
    <w:p w14:paraId="3B276894">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eastAsia" w:eastAsia="宋体"/>
          <w:sz w:val="28"/>
          <w:szCs w:val="28"/>
          <w:lang w:eastAsia="zh-CN"/>
        </w:rPr>
      </w:pPr>
    </w:p>
    <w:p w14:paraId="57A92B9C">
      <w:pPr>
        <w:pageBreakBefore w:val="0"/>
        <w:kinsoku/>
        <w:wordWrap/>
        <w:overflowPunct/>
        <w:topLinePunct w:val="0"/>
        <w:bidi w:val="0"/>
        <w:ind w:left="0" w:leftChars="0" w:right="0"/>
        <w:jc w:val="center"/>
        <w:outlineLvl w:val="2"/>
        <w:rPr>
          <w:rFonts w:hint="eastAsia" w:ascii="仿宋" w:hAnsi="仿宋" w:eastAsia="仿宋" w:cs="仿宋"/>
          <w:b/>
          <w:bCs/>
          <w:spacing w:val="-3"/>
          <w:sz w:val="28"/>
          <w:szCs w:val="28"/>
          <w:lang w:val="en-US" w:eastAsia="zh-CN"/>
        </w:rPr>
      </w:pPr>
      <w:r>
        <w:rPr>
          <w:b/>
          <w:bCs/>
          <w:spacing w:val="-3"/>
          <w:sz w:val="28"/>
          <w:szCs w:val="28"/>
        </w:rPr>
        <w:br w:type="page"/>
      </w:r>
      <w:r>
        <w:rPr>
          <w:rFonts w:hint="eastAsia" w:ascii="仿宋" w:hAnsi="仿宋" w:eastAsia="仿宋" w:cs="仿宋"/>
          <w:b/>
          <w:bCs/>
          <w:spacing w:val="-3"/>
          <w:sz w:val="28"/>
          <w:szCs w:val="28"/>
          <w:lang w:val="en-US" w:eastAsia="zh-CN"/>
        </w:rPr>
        <w:t>（一）楼宇保洁</w:t>
      </w:r>
      <w:r>
        <w:rPr>
          <w:rFonts w:hint="eastAsia" w:ascii="仿宋" w:hAnsi="仿宋" w:eastAsia="仿宋" w:cs="仿宋"/>
          <w:b/>
          <w:bCs/>
          <w:spacing w:val="-3"/>
          <w:sz w:val="28"/>
          <w:szCs w:val="28"/>
        </w:rPr>
        <w:t>服务</w:t>
      </w:r>
      <w:r>
        <w:rPr>
          <w:rFonts w:hint="eastAsia" w:ascii="仿宋" w:hAnsi="仿宋" w:eastAsia="仿宋" w:cs="仿宋"/>
          <w:b/>
          <w:bCs/>
          <w:spacing w:val="-3"/>
          <w:sz w:val="28"/>
          <w:szCs w:val="28"/>
          <w:lang w:val="en-US" w:eastAsia="zh-CN"/>
        </w:rPr>
        <w:t>考评细则</w:t>
      </w: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65"/>
        <w:gridCol w:w="4660"/>
        <w:gridCol w:w="3016"/>
        <w:gridCol w:w="486"/>
      </w:tblGrid>
      <w:tr w14:paraId="51214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noWrap w:val="0"/>
            <w:vAlign w:val="center"/>
          </w:tcPr>
          <w:p w14:paraId="42C28E0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项目</w:t>
            </w:r>
          </w:p>
        </w:tc>
        <w:tc>
          <w:tcPr>
            <w:tcW w:w="765" w:type="dxa"/>
            <w:noWrap w:val="0"/>
            <w:vAlign w:val="center"/>
          </w:tcPr>
          <w:p w14:paraId="2857C1E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序号</w:t>
            </w:r>
          </w:p>
        </w:tc>
        <w:tc>
          <w:tcPr>
            <w:tcW w:w="4660" w:type="dxa"/>
            <w:noWrap w:val="0"/>
            <w:vAlign w:val="center"/>
          </w:tcPr>
          <w:p w14:paraId="34EC00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考核内容</w:t>
            </w:r>
          </w:p>
        </w:tc>
        <w:tc>
          <w:tcPr>
            <w:tcW w:w="3016" w:type="dxa"/>
            <w:noWrap w:val="0"/>
            <w:vAlign w:val="center"/>
          </w:tcPr>
          <w:p w14:paraId="57E54EF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扣除分值</w:t>
            </w:r>
          </w:p>
        </w:tc>
        <w:tc>
          <w:tcPr>
            <w:tcW w:w="486" w:type="dxa"/>
            <w:noWrap w:val="0"/>
            <w:vAlign w:val="center"/>
          </w:tcPr>
          <w:p w14:paraId="3CEFD12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r>
              <w:rPr>
                <w:rFonts w:hint="eastAsia" w:ascii="仿宋" w:hAnsi="仿宋" w:eastAsia="仿宋" w:cs="仿宋"/>
                <w:snapToGrid w:val="0"/>
                <w:color w:val="000000"/>
                <w:spacing w:val="4"/>
                <w:sz w:val="24"/>
                <w:szCs w:val="24"/>
              </w:rPr>
              <w:t>扣分</w:t>
            </w:r>
          </w:p>
        </w:tc>
      </w:tr>
      <w:tr w14:paraId="1F52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restart"/>
            <w:tcBorders>
              <w:bottom w:val="nil"/>
            </w:tcBorders>
            <w:noWrap w:val="0"/>
            <w:vAlign w:val="center"/>
          </w:tcPr>
          <w:p w14:paraId="5BA5D95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行为规范</w:t>
            </w:r>
          </w:p>
        </w:tc>
        <w:tc>
          <w:tcPr>
            <w:tcW w:w="765" w:type="dxa"/>
            <w:noWrap w:val="0"/>
            <w:vAlign w:val="center"/>
          </w:tcPr>
          <w:p w14:paraId="109203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1</w:t>
            </w:r>
          </w:p>
        </w:tc>
        <w:tc>
          <w:tcPr>
            <w:tcW w:w="4660" w:type="dxa"/>
            <w:noWrap w:val="0"/>
            <w:vAlign w:val="center"/>
          </w:tcPr>
          <w:p w14:paraId="605A725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工作时间</w:t>
            </w:r>
            <w:r>
              <w:rPr>
                <w:rFonts w:hint="eastAsia" w:ascii="仿宋" w:hAnsi="仿宋" w:eastAsia="仿宋" w:cs="仿宋"/>
                <w:snapToGrid w:val="0"/>
                <w:color w:val="000000"/>
                <w:spacing w:val="4"/>
                <w:sz w:val="24"/>
                <w:szCs w:val="24"/>
              </w:rPr>
              <w:t>按规定统一着装</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佩戴工牌。</w:t>
            </w:r>
          </w:p>
        </w:tc>
        <w:tc>
          <w:tcPr>
            <w:tcW w:w="3016" w:type="dxa"/>
            <w:noWrap w:val="0"/>
            <w:vAlign w:val="center"/>
          </w:tcPr>
          <w:p w14:paraId="2ACB994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每人每次扣1分</w:t>
            </w:r>
          </w:p>
        </w:tc>
        <w:tc>
          <w:tcPr>
            <w:tcW w:w="486" w:type="dxa"/>
            <w:noWrap w:val="0"/>
            <w:vAlign w:val="center"/>
          </w:tcPr>
          <w:p w14:paraId="2E4C359B">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023C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bottom w:val="nil"/>
            </w:tcBorders>
            <w:noWrap w:val="0"/>
            <w:vAlign w:val="center"/>
          </w:tcPr>
          <w:p w14:paraId="06BBD79E">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6091A61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2</w:t>
            </w:r>
          </w:p>
        </w:tc>
        <w:tc>
          <w:tcPr>
            <w:tcW w:w="4660" w:type="dxa"/>
            <w:noWrap w:val="0"/>
            <w:vAlign w:val="center"/>
          </w:tcPr>
          <w:p w14:paraId="1B78AD9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rPr>
              <w:t>工作时间</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干私事、</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脱岗、</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串岗、</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睡岗</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按规定</w:t>
            </w:r>
            <w:r>
              <w:rPr>
                <w:rFonts w:hint="eastAsia" w:ascii="仿宋" w:hAnsi="仿宋" w:eastAsia="仿宋" w:cs="仿宋"/>
                <w:snapToGrid w:val="0"/>
                <w:color w:val="000000"/>
                <w:spacing w:val="4"/>
                <w:sz w:val="24"/>
                <w:szCs w:val="24"/>
                <w:lang w:val="en-US" w:eastAsia="zh-CN"/>
              </w:rPr>
              <w:t>时间</w:t>
            </w:r>
            <w:r>
              <w:rPr>
                <w:rFonts w:hint="eastAsia" w:ascii="仿宋" w:hAnsi="仿宋" w:eastAsia="仿宋" w:cs="仿宋"/>
                <w:snapToGrid w:val="0"/>
                <w:color w:val="000000"/>
                <w:spacing w:val="4"/>
                <w:sz w:val="24"/>
                <w:szCs w:val="24"/>
              </w:rPr>
              <w:t>打扫</w:t>
            </w:r>
            <w:r>
              <w:rPr>
                <w:rFonts w:hint="eastAsia" w:ascii="仿宋" w:hAnsi="仿宋" w:eastAsia="仿宋" w:cs="仿宋"/>
                <w:snapToGrid w:val="0"/>
                <w:color w:val="000000"/>
                <w:spacing w:val="4"/>
                <w:sz w:val="24"/>
                <w:szCs w:val="24"/>
                <w:lang w:val="en-US" w:eastAsia="zh-CN"/>
              </w:rPr>
              <w:t>卫生。</w:t>
            </w:r>
          </w:p>
        </w:tc>
        <w:tc>
          <w:tcPr>
            <w:tcW w:w="3016" w:type="dxa"/>
            <w:noWrap w:val="0"/>
            <w:vAlign w:val="center"/>
          </w:tcPr>
          <w:p w14:paraId="3A0FEF1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每人每次扣1分</w:t>
            </w:r>
          </w:p>
        </w:tc>
        <w:tc>
          <w:tcPr>
            <w:tcW w:w="486" w:type="dxa"/>
            <w:noWrap w:val="0"/>
            <w:vAlign w:val="center"/>
          </w:tcPr>
          <w:p w14:paraId="1C94C566">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74DD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bottom w:val="nil"/>
            </w:tcBorders>
            <w:noWrap w:val="0"/>
            <w:vAlign w:val="center"/>
          </w:tcPr>
          <w:p w14:paraId="2E1B8E5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4701A21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3</w:t>
            </w:r>
          </w:p>
        </w:tc>
        <w:tc>
          <w:tcPr>
            <w:tcW w:w="4660" w:type="dxa"/>
            <w:noWrap w:val="0"/>
            <w:vAlign w:val="center"/>
          </w:tcPr>
          <w:p w14:paraId="3FEB07F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使用文明用语；态度端正，服从工作安排。</w:t>
            </w:r>
          </w:p>
        </w:tc>
        <w:tc>
          <w:tcPr>
            <w:tcW w:w="3016" w:type="dxa"/>
            <w:noWrap w:val="0"/>
            <w:vAlign w:val="center"/>
          </w:tcPr>
          <w:p w14:paraId="414113D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每人每次扣1分</w:t>
            </w:r>
          </w:p>
        </w:tc>
        <w:tc>
          <w:tcPr>
            <w:tcW w:w="486" w:type="dxa"/>
            <w:noWrap w:val="0"/>
            <w:vAlign w:val="center"/>
          </w:tcPr>
          <w:p w14:paraId="73DDED4B">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6606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bottom w:val="nil"/>
            </w:tcBorders>
            <w:noWrap w:val="0"/>
            <w:vAlign w:val="center"/>
          </w:tcPr>
          <w:p w14:paraId="4E74508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250FC3B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61614FB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rPr>
              <w:t>4</w:t>
            </w:r>
          </w:p>
        </w:tc>
        <w:tc>
          <w:tcPr>
            <w:tcW w:w="4660" w:type="dxa"/>
            <w:noWrap w:val="0"/>
            <w:vAlign w:val="center"/>
          </w:tcPr>
          <w:p w14:paraId="25CE4B7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rPr>
              <w:t>岗位上</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吸烟、</w:t>
            </w:r>
            <w:r>
              <w:rPr>
                <w:rFonts w:hint="eastAsia" w:ascii="仿宋" w:hAnsi="仿宋" w:eastAsia="仿宋" w:cs="仿宋"/>
                <w:snapToGrid w:val="0"/>
                <w:color w:val="000000"/>
                <w:spacing w:val="4"/>
                <w:sz w:val="24"/>
                <w:szCs w:val="24"/>
                <w:lang w:val="en-US" w:eastAsia="zh-CN"/>
              </w:rPr>
              <w:t>不吃零食</w:t>
            </w:r>
            <w:r>
              <w:rPr>
                <w:rFonts w:hint="eastAsia" w:ascii="仿宋" w:hAnsi="仿宋" w:eastAsia="仿宋" w:cs="仿宋"/>
                <w:snapToGrid w:val="0"/>
                <w:color w:val="000000"/>
                <w:spacing w:val="4"/>
                <w:sz w:val="24"/>
                <w:szCs w:val="24"/>
              </w:rPr>
              <w:t>、</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看书报、</w:t>
            </w:r>
            <w:r>
              <w:rPr>
                <w:rFonts w:hint="eastAsia" w:ascii="仿宋" w:hAnsi="仿宋" w:eastAsia="仿宋" w:cs="仿宋"/>
                <w:snapToGrid w:val="0"/>
                <w:color w:val="000000"/>
                <w:spacing w:val="4"/>
                <w:sz w:val="24"/>
                <w:szCs w:val="24"/>
                <w:lang w:val="en-US" w:eastAsia="zh-CN"/>
              </w:rPr>
              <w:t>不玩手机、不</w:t>
            </w:r>
            <w:r>
              <w:rPr>
                <w:rFonts w:hint="eastAsia" w:ascii="仿宋" w:hAnsi="仿宋" w:eastAsia="仿宋" w:cs="仿宋"/>
                <w:snapToGrid w:val="0"/>
                <w:color w:val="000000"/>
                <w:spacing w:val="4"/>
                <w:sz w:val="24"/>
                <w:szCs w:val="24"/>
              </w:rPr>
              <w:t>嬉戏打闹等影响工作的现象</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2ED958E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0DE9A09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每人每次扣1分</w:t>
            </w:r>
          </w:p>
        </w:tc>
        <w:tc>
          <w:tcPr>
            <w:tcW w:w="486" w:type="dxa"/>
            <w:noWrap w:val="0"/>
            <w:vAlign w:val="center"/>
          </w:tcPr>
          <w:p w14:paraId="4CF7E411">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5C9C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bottom w:val="nil"/>
            </w:tcBorders>
            <w:noWrap w:val="0"/>
            <w:vAlign w:val="center"/>
          </w:tcPr>
          <w:p w14:paraId="10A0972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3FF05E6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5</w:t>
            </w:r>
          </w:p>
        </w:tc>
        <w:tc>
          <w:tcPr>
            <w:tcW w:w="4660" w:type="dxa"/>
            <w:noWrap w:val="0"/>
            <w:vAlign w:val="center"/>
          </w:tcPr>
          <w:p w14:paraId="5630000E">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公共区域及</w:t>
            </w:r>
            <w:r>
              <w:rPr>
                <w:rFonts w:hint="eastAsia" w:ascii="仿宋" w:hAnsi="仿宋" w:eastAsia="仿宋" w:cs="仿宋"/>
                <w:snapToGrid w:val="0"/>
                <w:color w:val="000000"/>
                <w:spacing w:val="4"/>
                <w:sz w:val="24"/>
                <w:szCs w:val="24"/>
              </w:rPr>
              <w:t>卫生间</w:t>
            </w: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存放废品、杂物</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27CF994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每人每次扣2分</w:t>
            </w:r>
          </w:p>
        </w:tc>
        <w:tc>
          <w:tcPr>
            <w:tcW w:w="486" w:type="dxa"/>
            <w:noWrap w:val="0"/>
            <w:vAlign w:val="center"/>
          </w:tcPr>
          <w:p w14:paraId="03462D22">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71CDB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bottom w:val="nil"/>
            </w:tcBorders>
            <w:noWrap w:val="0"/>
            <w:vAlign w:val="center"/>
          </w:tcPr>
          <w:p w14:paraId="12C587F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153F987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6</w:t>
            </w:r>
          </w:p>
        </w:tc>
        <w:tc>
          <w:tcPr>
            <w:tcW w:w="4660" w:type="dxa"/>
            <w:noWrap w:val="0"/>
            <w:vAlign w:val="center"/>
          </w:tcPr>
          <w:p w14:paraId="4AB8EAD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不</w:t>
            </w:r>
            <w:r>
              <w:rPr>
                <w:rFonts w:hint="eastAsia" w:ascii="仿宋" w:hAnsi="仿宋" w:eastAsia="仿宋" w:cs="仿宋"/>
                <w:snapToGrid w:val="0"/>
                <w:color w:val="000000"/>
                <w:spacing w:val="4"/>
                <w:sz w:val="24"/>
                <w:szCs w:val="24"/>
              </w:rPr>
              <w:t>与同事或师生发生言语冲突、肢体冲突</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7E6DE5F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每人每次扣2分</w:t>
            </w:r>
          </w:p>
        </w:tc>
        <w:tc>
          <w:tcPr>
            <w:tcW w:w="486" w:type="dxa"/>
            <w:noWrap w:val="0"/>
            <w:vAlign w:val="center"/>
          </w:tcPr>
          <w:p w14:paraId="3579648F">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5D0F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tcBorders>
              <w:top w:val="nil"/>
            </w:tcBorders>
            <w:noWrap w:val="0"/>
            <w:vAlign w:val="center"/>
          </w:tcPr>
          <w:p w14:paraId="4860868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2A9F0F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7</w:t>
            </w:r>
          </w:p>
        </w:tc>
        <w:tc>
          <w:tcPr>
            <w:tcW w:w="4660" w:type="dxa"/>
            <w:noWrap w:val="0"/>
            <w:vAlign w:val="center"/>
          </w:tcPr>
          <w:p w14:paraId="07A3048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rPr>
              <w:t>员工</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违法、</w:t>
            </w:r>
            <w:r>
              <w:rPr>
                <w:rFonts w:hint="eastAsia" w:ascii="仿宋" w:hAnsi="仿宋" w:eastAsia="仿宋" w:cs="仿宋"/>
                <w:snapToGrid w:val="0"/>
                <w:color w:val="000000"/>
                <w:spacing w:val="4"/>
                <w:sz w:val="24"/>
                <w:szCs w:val="24"/>
                <w:lang w:val="en-US" w:eastAsia="zh-CN"/>
              </w:rPr>
              <w:t>无违规</w:t>
            </w:r>
            <w:r>
              <w:rPr>
                <w:rFonts w:hint="eastAsia" w:ascii="仿宋" w:hAnsi="仿宋" w:eastAsia="仿宋" w:cs="仿宋"/>
                <w:snapToGrid w:val="0"/>
                <w:color w:val="000000"/>
                <w:spacing w:val="4"/>
                <w:sz w:val="24"/>
                <w:szCs w:val="24"/>
              </w:rPr>
              <w:t>、</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违纪行为</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084893D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每人每次扣5-10分，</w:t>
            </w:r>
            <w:r>
              <w:rPr>
                <w:rFonts w:hint="eastAsia" w:ascii="仿宋" w:hAnsi="仿宋" w:eastAsia="仿宋" w:cs="仿宋"/>
                <w:snapToGrid w:val="0"/>
                <w:color w:val="000000"/>
                <w:spacing w:val="4"/>
                <w:sz w:val="24"/>
                <w:szCs w:val="24"/>
                <w:lang w:val="en-US" w:eastAsia="zh-CN"/>
              </w:rPr>
              <w:t>情节严重</w:t>
            </w:r>
            <w:r>
              <w:rPr>
                <w:rFonts w:hint="eastAsia" w:ascii="仿宋" w:hAnsi="仿宋" w:eastAsia="仿宋" w:cs="仿宋"/>
                <w:snapToGrid w:val="0"/>
                <w:color w:val="000000"/>
                <w:spacing w:val="4"/>
                <w:sz w:val="24"/>
                <w:szCs w:val="24"/>
              </w:rPr>
              <w:t>辞退相关员工</w:t>
            </w:r>
          </w:p>
        </w:tc>
        <w:tc>
          <w:tcPr>
            <w:tcW w:w="486" w:type="dxa"/>
            <w:noWrap w:val="0"/>
            <w:vAlign w:val="center"/>
          </w:tcPr>
          <w:p w14:paraId="2FFBCB2A">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72F65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restart"/>
            <w:noWrap w:val="0"/>
            <w:vAlign w:val="center"/>
          </w:tcPr>
          <w:p w14:paraId="509AB10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30F2C77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47693E2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55BD8883">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2DE7763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674BB27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09214471">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p w14:paraId="0F0A057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卫生</w:t>
            </w:r>
            <w:r>
              <w:rPr>
                <w:rFonts w:hint="eastAsia" w:ascii="仿宋" w:hAnsi="仿宋" w:eastAsia="仿宋" w:cs="仿宋"/>
                <w:snapToGrid w:val="0"/>
                <w:color w:val="000000"/>
                <w:spacing w:val="4"/>
                <w:sz w:val="24"/>
                <w:szCs w:val="24"/>
                <w:lang w:val="en-US" w:eastAsia="zh-CN"/>
              </w:rPr>
              <w:t>保洁</w:t>
            </w:r>
          </w:p>
        </w:tc>
        <w:tc>
          <w:tcPr>
            <w:tcW w:w="765" w:type="dxa"/>
            <w:noWrap w:val="0"/>
            <w:vAlign w:val="center"/>
          </w:tcPr>
          <w:p w14:paraId="089ECD9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8</w:t>
            </w:r>
          </w:p>
        </w:tc>
        <w:tc>
          <w:tcPr>
            <w:tcW w:w="4660" w:type="dxa"/>
            <w:noWrap w:val="0"/>
            <w:vAlign w:val="center"/>
          </w:tcPr>
          <w:p w14:paraId="26E7151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eastAsia="zh-CN"/>
              </w:rPr>
            </w:pPr>
            <w:r>
              <w:rPr>
                <w:rFonts w:hint="eastAsia" w:ascii="仿宋" w:hAnsi="仿宋" w:eastAsia="仿宋" w:cs="仿宋"/>
                <w:snapToGrid w:val="0"/>
                <w:color w:val="000000"/>
                <w:spacing w:val="4"/>
                <w:sz w:val="24"/>
                <w:szCs w:val="24"/>
                <w:lang w:val="en-US" w:eastAsia="zh-CN"/>
              </w:rPr>
              <w:t>会议室：会议室地面整洁，无垃圾、无烟蒂等杂物。桌面、椅子、椅套无污渍，定期清洗；投影仪无灰尘。室内空气清新无异味。</w:t>
            </w:r>
          </w:p>
        </w:tc>
        <w:tc>
          <w:tcPr>
            <w:tcW w:w="3016" w:type="dxa"/>
            <w:noWrap w:val="0"/>
            <w:vAlign w:val="center"/>
          </w:tcPr>
          <w:p w14:paraId="7014B5A7">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0D49F1A1">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0F24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67A8669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3BED68B7">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9</w:t>
            </w:r>
          </w:p>
        </w:tc>
        <w:tc>
          <w:tcPr>
            <w:tcW w:w="4660" w:type="dxa"/>
            <w:noWrap w:val="0"/>
            <w:vAlign w:val="center"/>
          </w:tcPr>
          <w:p w14:paraId="346E401E">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eastAsia="zh-CN"/>
              </w:rPr>
              <w:t>教室：</w:t>
            </w:r>
            <w:r>
              <w:rPr>
                <w:rFonts w:hint="eastAsia" w:ascii="仿宋" w:hAnsi="仿宋" w:eastAsia="仿宋" w:cs="仿宋"/>
                <w:snapToGrid w:val="0"/>
                <w:color w:val="000000"/>
                <w:spacing w:val="4"/>
                <w:sz w:val="24"/>
                <w:szCs w:val="24"/>
              </w:rPr>
              <w:t>桌面、 桌斗</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灰尘、纸屑、垃圾等</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电扇未及时保养、防尘</w:t>
            </w:r>
            <w:r>
              <w:rPr>
                <w:rFonts w:hint="eastAsia" w:ascii="仿宋" w:hAnsi="仿宋" w:eastAsia="仿宋" w:cs="仿宋"/>
                <w:snapToGrid w:val="0"/>
                <w:color w:val="000000"/>
                <w:spacing w:val="4"/>
                <w:sz w:val="24"/>
                <w:szCs w:val="24"/>
                <w:lang w:eastAsia="zh-CN"/>
              </w:rPr>
              <w:t>；门楣、门套、墙面、墙角无积尘；</w:t>
            </w:r>
            <w:r>
              <w:rPr>
                <w:rFonts w:hint="eastAsia" w:ascii="仿宋" w:hAnsi="仿宋" w:eastAsia="仿宋" w:cs="仿宋"/>
                <w:snapToGrid w:val="0"/>
                <w:color w:val="000000"/>
                <w:spacing w:val="4"/>
                <w:sz w:val="24"/>
                <w:szCs w:val="24"/>
              </w:rPr>
              <w:t>黑板擦拭不及时、</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粘贴物、下沿</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粉笔头、粉末等</w:t>
            </w:r>
            <w:r>
              <w:rPr>
                <w:rFonts w:hint="eastAsia" w:ascii="仿宋" w:hAnsi="仿宋" w:eastAsia="仿宋" w:cs="仿宋"/>
                <w:snapToGrid w:val="0"/>
                <w:color w:val="000000"/>
                <w:spacing w:val="4"/>
                <w:sz w:val="24"/>
                <w:szCs w:val="24"/>
                <w:lang w:eastAsia="zh-CN"/>
              </w:rPr>
              <w:t>；窗台无积尘，窗帘挂放整齐；室内无异味。</w:t>
            </w:r>
          </w:p>
        </w:tc>
        <w:tc>
          <w:tcPr>
            <w:tcW w:w="3016" w:type="dxa"/>
            <w:noWrap w:val="0"/>
            <w:vAlign w:val="center"/>
          </w:tcPr>
          <w:p w14:paraId="617D911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51D528AB">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C9F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5DE3205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24C638C3">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10</w:t>
            </w:r>
          </w:p>
        </w:tc>
        <w:tc>
          <w:tcPr>
            <w:tcW w:w="4660" w:type="dxa"/>
            <w:noWrap w:val="0"/>
            <w:vAlign w:val="center"/>
          </w:tcPr>
          <w:p w14:paraId="641034B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eastAsia="zh-CN"/>
              </w:rPr>
              <w:t>大厅：地面无水渍、污渍、垃圾、积尘等；</w:t>
            </w:r>
            <w:r>
              <w:rPr>
                <w:rFonts w:hint="eastAsia" w:ascii="仿宋" w:hAnsi="仿宋" w:eastAsia="仿宋" w:cs="仿宋"/>
                <w:snapToGrid w:val="0"/>
                <w:color w:val="000000"/>
                <w:spacing w:val="4"/>
                <w:sz w:val="24"/>
                <w:szCs w:val="24"/>
              </w:rPr>
              <w:t>地面</w:t>
            </w:r>
            <w:r>
              <w:rPr>
                <w:rFonts w:hint="eastAsia" w:ascii="仿宋" w:hAnsi="仿宋" w:eastAsia="仿宋" w:cs="仿宋"/>
                <w:snapToGrid w:val="0"/>
                <w:color w:val="000000"/>
                <w:spacing w:val="4"/>
                <w:sz w:val="24"/>
                <w:szCs w:val="24"/>
                <w:lang w:eastAsia="zh-CN"/>
              </w:rPr>
              <w:t>无</w:t>
            </w:r>
            <w:r>
              <w:rPr>
                <w:rFonts w:hint="eastAsia" w:ascii="仿宋" w:hAnsi="仿宋" w:eastAsia="仿宋" w:cs="仿宋"/>
                <w:snapToGrid w:val="0"/>
                <w:color w:val="000000"/>
                <w:spacing w:val="4"/>
                <w:sz w:val="24"/>
                <w:szCs w:val="24"/>
              </w:rPr>
              <w:t>痰迹、纸屑垃圾、</w:t>
            </w:r>
            <w:r>
              <w:rPr>
                <w:rFonts w:hint="eastAsia" w:ascii="仿宋" w:hAnsi="仿宋" w:eastAsia="仿宋" w:cs="仿宋"/>
                <w:snapToGrid w:val="0"/>
                <w:color w:val="000000"/>
                <w:spacing w:val="4"/>
                <w:sz w:val="24"/>
                <w:szCs w:val="24"/>
                <w:lang w:eastAsia="zh-CN"/>
              </w:rPr>
              <w:t>无</w:t>
            </w:r>
            <w:r>
              <w:rPr>
                <w:rFonts w:hint="eastAsia" w:ascii="仿宋" w:hAnsi="仿宋" w:eastAsia="仿宋" w:cs="仿宋"/>
                <w:snapToGrid w:val="0"/>
                <w:color w:val="000000"/>
                <w:spacing w:val="4"/>
                <w:sz w:val="24"/>
                <w:szCs w:val="24"/>
              </w:rPr>
              <w:t>卫生死角</w:t>
            </w:r>
            <w:r>
              <w:rPr>
                <w:rFonts w:hint="eastAsia" w:ascii="仿宋" w:hAnsi="仿宋" w:eastAsia="仿宋" w:cs="仿宋"/>
                <w:snapToGrid w:val="0"/>
                <w:color w:val="000000"/>
                <w:spacing w:val="4"/>
                <w:sz w:val="24"/>
                <w:szCs w:val="24"/>
                <w:lang w:eastAsia="zh-CN"/>
              </w:rPr>
              <w:t>；墙角无蜘蛛网，墙面无灰尘、污渍；公共设施表面无积尘、污渍；玻璃上无手印、积尘、污渍等；窗台无积尘。</w:t>
            </w:r>
          </w:p>
        </w:tc>
        <w:tc>
          <w:tcPr>
            <w:tcW w:w="3016" w:type="dxa"/>
            <w:noWrap w:val="0"/>
            <w:vAlign w:val="center"/>
          </w:tcPr>
          <w:p w14:paraId="714F643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04962605">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237E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249A10C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1424B2E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11</w:t>
            </w:r>
          </w:p>
        </w:tc>
        <w:tc>
          <w:tcPr>
            <w:tcW w:w="4660" w:type="dxa"/>
            <w:noWrap w:val="0"/>
            <w:vAlign w:val="center"/>
          </w:tcPr>
          <w:p w14:paraId="294CBD61">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eastAsia="zh-CN"/>
              </w:rPr>
              <w:t>公共走廊、楼道：</w:t>
            </w:r>
            <w:r>
              <w:rPr>
                <w:rFonts w:hint="eastAsia" w:ascii="仿宋" w:hAnsi="仿宋" w:eastAsia="仿宋" w:cs="仿宋"/>
                <w:snapToGrid w:val="0"/>
                <w:color w:val="000000"/>
                <w:spacing w:val="4"/>
                <w:sz w:val="24"/>
                <w:szCs w:val="24"/>
              </w:rPr>
              <w:t>墙壁及附着设施上</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尘土、虫网</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窗台、门头</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横撑、天棚、灯具无</w:t>
            </w:r>
            <w:r>
              <w:rPr>
                <w:rFonts w:hint="eastAsia" w:ascii="仿宋" w:hAnsi="仿宋" w:eastAsia="仿宋" w:cs="仿宋"/>
                <w:snapToGrid w:val="0"/>
                <w:color w:val="000000"/>
                <w:spacing w:val="4"/>
                <w:sz w:val="24"/>
                <w:szCs w:val="24"/>
              </w:rPr>
              <w:t>积灰，玻璃不洁净</w:t>
            </w:r>
            <w:r>
              <w:rPr>
                <w:rFonts w:hint="eastAsia" w:ascii="仿宋" w:hAnsi="仿宋" w:eastAsia="仿宋" w:cs="仿宋"/>
                <w:snapToGrid w:val="0"/>
                <w:color w:val="000000"/>
                <w:spacing w:val="4"/>
                <w:sz w:val="24"/>
                <w:szCs w:val="24"/>
                <w:lang w:eastAsia="zh-CN"/>
              </w:rPr>
              <w:t>；垃圾桶内垃圾不得超过容积的</w:t>
            </w:r>
            <w:r>
              <w:rPr>
                <w:rFonts w:hint="eastAsia" w:ascii="仿宋" w:hAnsi="仿宋" w:eastAsia="仿宋" w:cs="仿宋"/>
                <w:snapToGrid w:val="0"/>
                <w:color w:val="000000"/>
                <w:spacing w:val="4"/>
                <w:sz w:val="24"/>
                <w:szCs w:val="24"/>
                <w:lang w:val="en-US" w:eastAsia="zh-CN"/>
              </w:rPr>
              <w:t>80%</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6866880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1A12EA59">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0B62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416B9E6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655B0863">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12</w:t>
            </w:r>
          </w:p>
        </w:tc>
        <w:tc>
          <w:tcPr>
            <w:tcW w:w="4660" w:type="dxa"/>
            <w:noWrap w:val="0"/>
            <w:vAlign w:val="center"/>
          </w:tcPr>
          <w:p w14:paraId="14A46BD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微环境：桌面无灰尘、纸屑、垃圾等；</w:t>
            </w:r>
            <w:r>
              <w:rPr>
                <w:rFonts w:hint="eastAsia" w:ascii="仿宋" w:hAnsi="仿宋" w:eastAsia="仿宋" w:cs="仿宋"/>
                <w:snapToGrid w:val="0"/>
                <w:color w:val="000000"/>
                <w:spacing w:val="4"/>
                <w:sz w:val="24"/>
                <w:szCs w:val="24"/>
              </w:rPr>
              <w:t>地面</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纸屑、杂物、积水、痰迹、污迹等</w:t>
            </w:r>
            <w:r>
              <w:rPr>
                <w:rFonts w:hint="eastAsia" w:ascii="仿宋" w:hAnsi="仿宋" w:eastAsia="仿宋" w:cs="仿宋"/>
                <w:snapToGrid w:val="0"/>
                <w:color w:val="000000"/>
                <w:spacing w:val="4"/>
                <w:sz w:val="24"/>
                <w:szCs w:val="24"/>
                <w:lang w:eastAsia="zh-CN"/>
              </w:rPr>
              <w:t>；玻璃门无手印、污渍等；</w:t>
            </w:r>
            <w:r>
              <w:rPr>
                <w:rFonts w:hint="eastAsia" w:ascii="仿宋" w:hAnsi="仿宋" w:eastAsia="仿宋" w:cs="仿宋"/>
                <w:snapToGrid w:val="0"/>
                <w:color w:val="000000"/>
                <w:spacing w:val="4"/>
                <w:sz w:val="24"/>
                <w:szCs w:val="24"/>
                <w:lang w:val="en-US" w:eastAsia="zh-CN"/>
              </w:rPr>
              <w:t>读书屋</w:t>
            </w:r>
            <w:r>
              <w:rPr>
                <w:rFonts w:hint="eastAsia" w:ascii="仿宋" w:hAnsi="仿宋" w:eastAsia="仿宋" w:cs="仿宋"/>
                <w:snapToGrid w:val="0"/>
                <w:color w:val="000000"/>
                <w:spacing w:val="4"/>
                <w:sz w:val="24"/>
                <w:szCs w:val="24"/>
                <w:lang w:eastAsia="zh-CN"/>
              </w:rPr>
              <w:t>未按要求消杀。</w:t>
            </w:r>
          </w:p>
        </w:tc>
        <w:tc>
          <w:tcPr>
            <w:tcW w:w="3016" w:type="dxa"/>
            <w:noWrap w:val="0"/>
            <w:vAlign w:val="center"/>
          </w:tcPr>
          <w:p w14:paraId="537BF88E">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4E3B79B1">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4597A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2543168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68BDC86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13</w:t>
            </w:r>
          </w:p>
        </w:tc>
        <w:tc>
          <w:tcPr>
            <w:tcW w:w="4660" w:type="dxa"/>
            <w:noWrap w:val="0"/>
            <w:vAlign w:val="center"/>
          </w:tcPr>
          <w:p w14:paraId="2D08AA1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电梯：轿厢内无积尘、无污渍、无粘贴物；灯具、指示板明亮；厢内地面干净、无垃圾杂物；不锈钢表面无手印、积尘、污渍等；电梯门槽内无垃圾杂物。</w:t>
            </w:r>
          </w:p>
        </w:tc>
        <w:tc>
          <w:tcPr>
            <w:tcW w:w="3016" w:type="dxa"/>
            <w:noWrap w:val="0"/>
            <w:vAlign w:val="center"/>
          </w:tcPr>
          <w:p w14:paraId="149680E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45EBB087">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613E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30D635E7">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09F6590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14</w:t>
            </w:r>
          </w:p>
        </w:tc>
        <w:tc>
          <w:tcPr>
            <w:tcW w:w="4660" w:type="dxa"/>
            <w:noWrap w:val="0"/>
            <w:vAlign w:val="center"/>
          </w:tcPr>
          <w:p w14:paraId="3ECA7A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楼梯</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台阶不洁净、</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卫生死角、打扫不到位</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楼梯台阶及扶手</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尘土、污迹</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墙壁及</w:t>
            </w:r>
            <w:r>
              <w:rPr>
                <w:rFonts w:hint="eastAsia" w:ascii="仿宋" w:hAnsi="仿宋" w:eastAsia="仿宋" w:cs="仿宋"/>
                <w:snapToGrid w:val="0"/>
                <w:color w:val="000000"/>
                <w:spacing w:val="4"/>
                <w:sz w:val="24"/>
                <w:szCs w:val="24"/>
                <w:lang w:val="en-US" w:eastAsia="zh-CN"/>
              </w:rPr>
              <w:t>附属</w:t>
            </w:r>
            <w:r>
              <w:rPr>
                <w:rFonts w:hint="eastAsia" w:ascii="仿宋" w:hAnsi="仿宋" w:eastAsia="仿宋" w:cs="仿宋"/>
                <w:snapToGrid w:val="0"/>
                <w:color w:val="000000"/>
                <w:spacing w:val="4"/>
                <w:sz w:val="24"/>
                <w:szCs w:val="24"/>
              </w:rPr>
              <w:t>设施上</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尘土、虫网</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室外公共台阶无杂草、污渍、无垃圾。</w:t>
            </w:r>
          </w:p>
        </w:tc>
        <w:tc>
          <w:tcPr>
            <w:tcW w:w="3016" w:type="dxa"/>
            <w:noWrap w:val="0"/>
            <w:vAlign w:val="center"/>
          </w:tcPr>
          <w:p w14:paraId="4F10DA5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521734E7">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28A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319835B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33EAECF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15</w:t>
            </w:r>
          </w:p>
        </w:tc>
        <w:tc>
          <w:tcPr>
            <w:tcW w:w="4660" w:type="dxa"/>
            <w:noWrap w:val="0"/>
            <w:vAlign w:val="center"/>
          </w:tcPr>
          <w:p w14:paraId="66B7FE2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开水房：</w:t>
            </w:r>
            <w:r>
              <w:rPr>
                <w:rFonts w:hint="eastAsia" w:ascii="仿宋" w:hAnsi="仿宋" w:eastAsia="仿宋" w:cs="仿宋"/>
                <w:snapToGrid w:val="0"/>
                <w:color w:val="000000"/>
                <w:spacing w:val="4"/>
                <w:sz w:val="24"/>
                <w:szCs w:val="24"/>
                <w:lang w:eastAsia="zh-CN"/>
              </w:rPr>
              <w:t>不锈钢表面无手印、</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lang w:eastAsia="zh-CN"/>
              </w:rPr>
              <w:t>积尘、</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lang w:eastAsia="zh-CN"/>
              </w:rPr>
              <w:t>污渍等；地面无水渍，墙面无污渍；</w:t>
            </w:r>
            <w:r>
              <w:rPr>
                <w:rFonts w:hint="eastAsia" w:ascii="仿宋" w:hAnsi="仿宋" w:eastAsia="仿宋" w:cs="仿宋"/>
                <w:snapToGrid w:val="0"/>
                <w:color w:val="000000"/>
                <w:spacing w:val="4"/>
                <w:sz w:val="24"/>
                <w:szCs w:val="24"/>
                <w:lang w:val="en-US" w:eastAsia="zh-CN"/>
              </w:rPr>
              <w:t>茶叶漏无污渍、异味。</w:t>
            </w:r>
          </w:p>
        </w:tc>
        <w:tc>
          <w:tcPr>
            <w:tcW w:w="3016" w:type="dxa"/>
            <w:noWrap w:val="0"/>
            <w:vAlign w:val="center"/>
          </w:tcPr>
          <w:p w14:paraId="4FF7AD6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每次每个扣1分</w:t>
            </w:r>
          </w:p>
        </w:tc>
        <w:tc>
          <w:tcPr>
            <w:tcW w:w="486" w:type="dxa"/>
            <w:noWrap w:val="0"/>
            <w:vAlign w:val="center"/>
          </w:tcPr>
          <w:p w14:paraId="5CC922B1">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11EC8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120A892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2D96A69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16</w:t>
            </w:r>
          </w:p>
        </w:tc>
        <w:tc>
          <w:tcPr>
            <w:tcW w:w="4660" w:type="dxa"/>
            <w:noWrap w:val="0"/>
            <w:vAlign w:val="center"/>
          </w:tcPr>
          <w:p w14:paraId="54D66FC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eastAsia="zh-CN"/>
              </w:rPr>
              <w:t>卫生间：</w:t>
            </w:r>
            <w:r>
              <w:rPr>
                <w:rFonts w:hint="eastAsia" w:ascii="仿宋" w:hAnsi="仿宋" w:eastAsia="仿宋" w:cs="仿宋"/>
                <w:snapToGrid w:val="0"/>
                <w:color w:val="000000"/>
                <w:spacing w:val="4"/>
                <w:sz w:val="24"/>
                <w:szCs w:val="24"/>
              </w:rPr>
              <w:t>便池</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污垢、污物，镜面</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污渍</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洗手</w:t>
            </w:r>
            <w:r>
              <w:rPr>
                <w:rFonts w:hint="eastAsia" w:ascii="仿宋" w:hAnsi="仿宋" w:eastAsia="仿宋" w:cs="仿宋"/>
                <w:snapToGrid w:val="0"/>
                <w:color w:val="000000"/>
                <w:spacing w:val="4"/>
                <w:sz w:val="24"/>
                <w:szCs w:val="24"/>
                <w:lang w:eastAsia="zh-CN"/>
              </w:rPr>
              <w:t>台面、</w:t>
            </w:r>
            <w:r>
              <w:rPr>
                <w:rFonts w:hint="eastAsia" w:ascii="仿宋" w:hAnsi="仿宋" w:eastAsia="仿宋" w:cs="仿宋"/>
                <w:snapToGrid w:val="0"/>
                <w:color w:val="000000"/>
                <w:spacing w:val="4"/>
                <w:sz w:val="24"/>
                <w:szCs w:val="24"/>
                <w:lang w:val="en-US" w:eastAsia="zh-CN"/>
              </w:rPr>
              <w:t>洗漱池</w:t>
            </w:r>
            <w:r>
              <w:rPr>
                <w:rFonts w:hint="eastAsia" w:ascii="仿宋" w:hAnsi="仿宋" w:eastAsia="仿宋" w:cs="仿宋"/>
                <w:snapToGrid w:val="0"/>
                <w:color w:val="000000"/>
                <w:spacing w:val="4"/>
                <w:sz w:val="24"/>
                <w:szCs w:val="24"/>
                <w:lang w:eastAsia="zh-CN"/>
              </w:rPr>
              <w:t>无污渍；纸篓加装垃圾袋并随时清理。</w:t>
            </w:r>
            <w:r>
              <w:rPr>
                <w:rFonts w:hint="eastAsia" w:ascii="仿宋" w:hAnsi="仿宋" w:eastAsia="仿宋" w:cs="仿宋"/>
                <w:snapToGrid w:val="0"/>
                <w:color w:val="000000"/>
                <w:spacing w:val="4"/>
                <w:sz w:val="24"/>
                <w:szCs w:val="24"/>
              </w:rPr>
              <w:t>卫生工具摆放乱、不规范，卫生间</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异味</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有熏香、喷香等物品。</w:t>
            </w:r>
          </w:p>
        </w:tc>
        <w:tc>
          <w:tcPr>
            <w:tcW w:w="3016" w:type="dxa"/>
            <w:noWrap w:val="0"/>
            <w:vAlign w:val="center"/>
          </w:tcPr>
          <w:p w14:paraId="1AEB8311">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32D4FC28">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9DB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154F4E2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66B6AF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17</w:t>
            </w:r>
          </w:p>
        </w:tc>
        <w:tc>
          <w:tcPr>
            <w:tcW w:w="4660" w:type="dxa"/>
            <w:noWrap w:val="0"/>
            <w:vAlign w:val="center"/>
          </w:tcPr>
          <w:p w14:paraId="2FDB6C1E">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eastAsia="zh-CN"/>
              </w:rPr>
              <w:t>公共区域：</w:t>
            </w:r>
            <w:r>
              <w:rPr>
                <w:rFonts w:hint="eastAsia" w:ascii="仿宋" w:hAnsi="仿宋" w:eastAsia="仿宋" w:cs="仿宋"/>
                <w:snapToGrid w:val="0"/>
                <w:color w:val="000000"/>
                <w:spacing w:val="4"/>
                <w:sz w:val="24"/>
                <w:szCs w:val="24"/>
              </w:rPr>
              <w:t>不按规定时间清扫和清运垃圾</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垃圾桶（箱）不整洁或有异味</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2812BA2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0199953A">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47D3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3D7E26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024C6BC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18</w:t>
            </w:r>
          </w:p>
        </w:tc>
        <w:tc>
          <w:tcPr>
            <w:tcW w:w="4660" w:type="dxa"/>
            <w:noWrap w:val="0"/>
            <w:vAlign w:val="center"/>
          </w:tcPr>
          <w:p w14:paraId="12A4FBE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rPr>
              <w:t>教师休息室</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地面</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痰迹、</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垃圾、</w:t>
            </w:r>
            <w:r>
              <w:rPr>
                <w:rFonts w:hint="eastAsia" w:ascii="仿宋" w:hAnsi="仿宋" w:eastAsia="仿宋" w:cs="仿宋"/>
                <w:snapToGrid w:val="0"/>
                <w:color w:val="000000"/>
                <w:spacing w:val="4"/>
                <w:sz w:val="24"/>
                <w:szCs w:val="24"/>
                <w:lang w:val="en-US" w:eastAsia="zh-CN"/>
              </w:rPr>
              <w:t>无纸屑</w:t>
            </w:r>
            <w:r>
              <w:rPr>
                <w:rFonts w:hint="eastAsia" w:ascii="仿宋" w:hAnsi="仿宋" w:eastAsia="仿宋" w:cs="仿宋"/>
                <w:snapToGrid w:val="0"/>
                <w:color w:val="000000"/>
                <w:spacing w:val="4"/>
                <w:sz w:val="24"/>
                <w:szCs w:val="24"/>
              </w:rPr>
              <w:t>等</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rPr>
              <w:t>家具物件</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积灰、</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污渍，玻璃不洁净</w:t>
            </w:r>
            <w:r>
              <w:rPr>
                <w:rFonts w:hint="eastAsia" w:ascii="仿宋" w:hAnsi="仿宋" w:eastAsia="仿宋" w:cs="仿宋"/>
                <w:snapToGrid w:val="0"/>
                <w:color w:val="000000"/>
                <w:spacing w:val="4"/>
                <w:sz w:val="24"/>
                <w:szCs w:val="24"/>
                <w:lang w:val="en-US" w:eastAsia="zh-CN"/>
              </w:rPr>
              <w:t>;洗漱池无</w:t>
            </w:r>
            <w:r>
              <w:rPr>
                <w:rFonts w:hint="eastAsia" w:ascii="仿宋" w:hAnsi="仿宋" w:eastAsia="仿宋" w:cs="仿宋"/>
                <w:snapToGrid w:val="0"/>
                <w:color w:val="000000"/>
                <w:spacing w:val="4"/>
                <w:sz w:val="24"/>
                <w:szCs w:val="24"/>
              </w:rPr>
              <w:t>水垢、</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污迹、</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异味</w:t>
            </w:r>
            <w:r>
              <w:rPr>
                <w:rFonts w:hint="eastAsia" w:ascii="仿宋" w:hAnsi="仿宋" w:eastAsia="仿宋" w:cs="仿宋"/>
                <w:snapToGrid w:val="0"/>
                <w:color w:val="000000"/>
                <w:spacing w:val="4"/>
                <w:sz w:val="24"/>
                <w:szCs w:val="24"/>
                <w:lang w:val="en-US" w:eastAsia="zh-CN"/>
              </w:rPr>
              <w:t>;直饮水机无水垢、无污渍、无异味；茶叶漏无污渍、无异味。</w:t>
            </w:r>
          </w:p>
        </w:tc>
        <w:tc>
          <w:tcPr>
            <w:tcW w:w="3016" w:type="dxa"/>
            <w:noWrap w:val="0"/>
            <w:vAlign w:val="center"/>
          </w:tcPr>
          <w:p w14:paraId="736385F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514F70F9">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41C9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4DD792A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03382AE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19</w:t>
            </w:r>
          </w:p>
        </w:tc>
        <w:tc>
          <w:tcPr>
            <w:tcW w:w="4660" w:type="dxa"/>
            <w:noWrap w:val="0"/>
            <w:vAlign w:val="center"/>
          </w:tcPr>
          <w:p w14:paraId="7F5DEB9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屋面、外墙、地下室等可上人屋面保洁标准同硬质地面，其他屋面及雨棚顶面要求无落叶等污物明显堆积，落水管口清洁、畅通。建筑物外墙3米以下无污损、无小广告。墙面、地面无蜘蛛网、无积灰、无垃圾、无积水;消防设施、门楣无积灰。</w:t>
            </w:r>
          </w:p>
        </w:tc>
        <w:tc>
          <w:tcPr>
            <w:tcW w:w="3016" w:type="dxa"/>
            <w:noWrap w:val="0"/>
            <w:vAlign w:val="center"/>
          </w:tcPr>
          <w:p w14:paraId="2D50767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37AAA0B0">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40EE3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147B43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81E760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20</w:t>
            </w:r>
          </w:p>
        </w:tc>
        <w:tc>
          <w:tcPr>
            <w:tcW w:w="4660" w:type="dxa"/>
            <w:noWrap w:val="0"/>
            <w:vAlign w:val="center"/>
          </w:tcPr>
          <w:p w14:paraId="7B62044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公共区域</w:t>
            </w:r>
            <w:r>
              <w:rPr>
                <w:rFonts w:hint="eastAsia" w:ascii="仿宋" w:hAnsi="仿宋" w:eastAsia="仿宋" w:cs="仿宋"/>
                <w:snapToGrid w:val="0"/>
                <w:color w:val="000000"/>
                <w:spacing w:val="4"/>
                <w:sz w:val="24"/>
                <w:szCs w:val="24"/>
              </w:rPr>
              <w:t>小广告等粘贴物及时</w:t>
            </w:r>
            <w:r>
              <w:rPr>
                <w:rFonts w:hint="eastAsia" w:ascii="仿宋" w:hAnsi="仿宋" w:eastAsia="仿宋" w:cs="仿宋"/>
                <w:snapToGrid w:val="0"/>
                <w:color w:val="000000"/>
                <w:spacing w:val="4"/>
                <w:sz w:val="24"/>
                <w:szCs w:val="24"/>
                <w:lang w:val="en-US" w:eastAsia="zh-CN"/>
              </w:rPr>
              <w:t>清理</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0449462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61029A28">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1942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2DF929B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77BC560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21</w:t>
            </w:r>
          </w:p>
        </w:tc>
        <w:tc>
          <w:tcPr>
            <w:tcW w:w="4660" w:type="dxa"/>
            <w:noWrap w:val="0"/>
            <w:vAlign w:val="center"/>
          </w:tcPr>
          <w:p w14:paraId="402850B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室外防水台无</w:t>
            </w:r>
            <w:r>
              <w:rPr>
                <w:rFonts w:hint="eastAsia" w:ascii="仿宋" w:hAnsi="仿宋" w:eastAsia="仿宋" w:cs="仿宋"/>
                <w:snapToGrid w:val="0"/>
                <w:color w:val="000000"/>
                <w:spacing w:val="4"/>
                <w:sz w:val="24"/>
                <w:szCs w:val="24"/>
              </w:rPr>
              <w:t>垃圾、</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杂物、</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积水</w:t>
            </w:r>
            <w:r>
              <w:rPr>
                <w:rFonts w:hint="eastAsia" w:ascii="仿宋" w:hAnsi="仿宋" w:eastAsia="仿宋" w:cs="仿宋"/>
                <w:snapToGrid w:val="0"/>
                <w:color w:val="000000"/>
                <w:spacing w:val="4"/>
                <w:sz w:val="24"/>
                <w:szCs w:val="24"/>
                <w:lang w:eastAsia="zh-CN"/>
              </w:rPr>
              <w:t>、</w:t>
            </w:r>
            <w:r>
              <w:rPr>
                <w:rFonts w:hint="eastAsia" w:ascii="仿宋" w:hAnsi="仿宋" w:eastAsia="仿宋" w:cs="仿宋"/>
                <w:snapToGrid w:val="0"/>
                <w:color w:val="000000"/>
                <w:spacing w:val="4"/>
                <w:sz w:val="24"/>
                <w:szCs w:val="24"/>
                <w:lang w:val="en-US" w:eastAsia="zh-CN"/>
              </w:rPr>
              <w:t>无</w:t>
            </w:r>
            <w:r>
              <w:rPr>
                <w:rFonts w:hint="eastAsia" w:ascii="仿宋" w:hAnsi="仿宋" w:eastAsia="仿宋" w:cs="仿宋"/>
                <w:snapToGrid w:val="0"/>
                <w:color w:val="000000"/>
                <w:spacing w:val="4"/>
                <w:sz w:val="24"/>
                <w:szCs w:val="24"/>
              </w:rPr>
              <w:t>积雪等</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02424B5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每次每处扣1分</w:t>
            </w:r>
          </w:p>
        </w:tc>
        <w:tc>
          <w:tcPr>
            <w:tcW w:w="486" w:type="dxa"/>
            <w:noWrap w:val="0"/>
            <w:vAlign w:val="center"/>
          </w:tcPr>
          <w:p w14:paraId="13028BB4">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575A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67A595A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09ED188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22</w:t>
            </w:r>
          </w:p>
        </w:tc>
        <w:tc>
          <w:tcPr>
            <w:tcW w:w="4660" w:type="dxa"/>
            <w:noWrap w:val="0"/>
            <w:vAlign w:val="center"/>
          </w:tcPr>
          <w:p w14:paraId="4247EA37">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未按要求消杀、清除“四害”。</w:t>
            </w:r>
          </w:p>
        </w:tc>
        <w:tc>
          <w:tcPr>
            <w:tcW w:w="3016" w:type="dxa"/>
            <w:noWrap w:val="0"/>
            <w:vAlign w:val="center"/>
          </w:tcPr>
          <w:p w14:paraId="475FC52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未达到，</w:t>
            </w:r>
            <w:r>
              <w:rPr>
                <w:rFonts w:hint="eastAsia" w:ascii="仿宋" w:hAnsi="仿宋" w:eastAsia="仿宋" w:cs="仿宋"/>
                <w:snapToGrid w:val="0"/>
                <w:color w:val="000000"/>
                <w:spacing w:val="4"/>
                <w:sz w:val="24"/>
                <w:szCs w:val="24"/>
              </w:rPr>
              <w:t>每次每处扣1 分</w:t>
            </w:r>
          </w:p>
        </w:tc>
        <w:tc>
          <w:tcPr>
            <w:tcW w:w="486" w:type="dxa"/>
            <w:noWrap w:val="0"/>
            <w:vAlign w:val="center"/>
          </w:tcPr>
          <w:p w14:paraId="05459777">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F31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restart"/>
            <w:noWrap w:val="0"/>
            <w:vAlign w:val="center"/>
          </w:tcPr>
          <w:p w14:paraId="032C1FC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投诉</w:t>
            </w:r>
          </w:p>
        </w:tc>
        <w:tc>
          <w:tcPr>
            <w:tcW w:w="765" w:type="dxa"/>
            <w:noWrap w:val="0"/>
            <w:vAlign w:val="center"/>
          </w:tcPr>
          <w:p w14:paraId="380CF18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23</w:t>
            </w:r>
          </w:p>
        </w:tc>
        <w:tc>
          <w:tcPr>
            <w:tcW w:w="4660" w:type="dxa"/>
            <w:noWrap w:val="0"/>
            <w:vAlign w:val="center"/>
          </w:tcPr>
          <w:p w14:paraId="0CA57C4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师生有效投诉且不能如期整改或整改效果不明显的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307C3ABD">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5B7AC799">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027E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5722980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760C450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24</w:t>
            </w:r>
          </w:p>
        </w:tc>
        <w:tc>
          <w:tcPr>
            <w:tcW w:w="4660" w:type="dxa"/>
            <w:noWrap w:val="0"/>
            <w:vAlign w:val="center"/>
          </w:tcPr>
          <w:p w14:paraId="0E9A17E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监管部门因物业服务质量问题受到会议批评或文字通报批评的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6375567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46EB6011">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0D73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63B46B3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3C400A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25</w:t>
            </w:r>
          </w:p>
        </w:tc>
        <w:tc>
          <w:tcPr>
            <w:tcW w:w="4660" w:type="dxa"/>
            <w:noWrap w:val="0"/>
            <w:vAlign w:val="center"/>
          </w:tcPr>
          <w:p w14:paraId="46A38C5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一天内对同一问题不改正</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4CC08AD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0C721828">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56DA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76024B4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11F8B23">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26</w:t>
            </w:r>
          </w:p>
        </w:tc>
        <w:tc>
          <w:tcPr>
            <w:tcW w:w="4660" w:type="dxa"/>
            <w:noWrap w:val="0"/>
            <w:vAlign w:val="center"/>
          </w:tcPr>
          <w:p w14:paraId="0129EC3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不服从管理造成不良后果的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7386BD04">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57279F92">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188F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4EE39D6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588472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27</w:t>
            </w:r>
          </w:p>
        </w:tc>
        <w:tc>
          <w:tcPr>
            <w:tcW w:w="4660" w:type="dxa"/>
            <w:noWrap w:val="0"/>
            <w:vAlign w:val="center"/>
          </w:tcPr>
          <w:p w14:paraId="3DD960B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服务学院满意度低于85％的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78E3A9B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757B80A2">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568D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3B095B4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5CB615A1">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28</w:t>
            </w:r>
          </w:p>
        </w:tc>
        <w:tc>
          <w:tcPr>
            <w:tcW w:w="4660" w:type="dxa"/>
            <w:noWrap w:val="0"/>
            <w:vAlign w:val="center"/>
          </w:tcPr>
          <w:p w14:paraId="1646EF9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履行合同不到，使学校或监管部门的利益受损的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172E910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lang w:val="en-US" w:eastAsia="zh-CN"/>
              </w:rPr>
              <w:t>每次</w:t>
            </w:r>
            <w:r>
              <w:rPr>
                <w:rFonts w:hint="eastAsia" w:ascii="仿宋" w:hAnsi="仿宋" w:eastAsia="仿宋" w:cs="仿宋"/>
                <w:snapToGrid w:val="0"/>
                <w:color w:val="000000"/>
                <w:spacing w:val="4"/>
                <w:sz w:val="24"/>
                <w:szCs w:val="24"/>
              </w:rPr>
              <w:t>扣2分</w:t>
            </w:r>
          </w:p>
        </w:tc>
        <w:tc>
          <w:tcPr>
            <w:tcW w:w="486" w:type="dxa"/>
            <w:noWrap w:val="0"/>
            <w:vAlign w:val="center"/>
          </w:tcPr>
          <w:p w14:paraId="2DBBAF8B">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9F2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0408B81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1CD66E6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29</w:t>
            </w:r>
          </w:p>
        </w:tc>
        <w:tc>
          <w:tcPr>
            <w:tcW w:w="4660" w:type="dxa"/>
            <w:noWrap w:val="0"/>
            <w:vAlign w:val="center"/>
          </w:tcPr>
          <w:p w14:paraId="28D4275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其他不符合楼宇服务标准和工作规范的事项</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1F4790B9">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rPr>
              <w:t>酌情扣除1至5分</w:t>
            </w:r>
          </w:p>
        </w:tc>
        <w:tc>
          <w:tcPr>
            <w:tcW w:w="486" w:type="dxa"/>
            <w:noWrap w:val="0"/>
            <w:vAlign w:val="center"/>
          </w:tcPr>
          <w:p w14:paraId="7700E863">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345E7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restart"/>
            <w:noWrap w:val="0"/>
            <w:vAlign w:val="center"/>
          </w:tcPr>
          <w:p w14:paraId="13A50CB8">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其他</w:t>
            </w:r>
          </w:p>
        </w:tc>
        <w:tc>
          <w:tcPr>
            <w:tcW w:w="765" w:type="dxa"/>
            <w:noWrap w:val="0"/>
            <w:vAlign w:val="center"/>
          </w:tcPr>
          <w:p w14:paraId="01578695">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30</w:t>
            </w:r>
          </w:p>
        </w:tc>
        <w:tc>
          <w:tcPr>
            <w:tcW w:w="4660" w:type="dxa"/>
            <w:noWrap w:val="0"/>
            <w:vAlign w:val="center"/>
          </w:tcPr>
          <w:p w14:paraId="4724265A">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其他不符合物业服务标准和规范的事项</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2DB2BB2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rPr>
              <w:t>每次扣1-5分</w:t>
            </w:r>
          </w:p>
        </w:tc>
        <w:tc>
          <w:tcPr>
            <w:tcW w:w="486" w:type="dxa"/>
            <w:noWrap w:val="0"/>
            <w:vAlign w:val="center"/>
          </w:tcPr>
          <w:p w14:paraId="192ED123">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6BDB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08F47630">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6FB4D526">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31</w:t>
            </w:r>
          </w:p>
        </w:tc>
        <w:tc>
          <w:tcPr>
            <w:tcW w:w="4660" w:type="dxa"/>
            <w:noWrap w:val="0"/>
            <w:vAlign w:val="center"/>
          </w:tcPr>
          <w:p w14:paraId="3F70B767">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在上级领导巡查期间被批评</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7453BB3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rPr>
              <w:t>每次扣5分</w:t>
            </w:r>
          </w:p>
        </w:tc>
        <w:tc>
          <w:tcPr>
            <w:tcW w:w="486" w:type="dxa"/>
            <w:noWrap w:val="0"/>
            <w:vAlign w:val="center"/>
          </w:tcPr>
          <w:p w14:paraId="4FBB5FFD">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210F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vMerge w:val="continue"/>
            <w:noWrap w:val="0"/>
            <w:vAlign w:val="center"/>
          </w:tcPr>
          <w:p w14:paraId="560D8FEB">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rPr>
            </w:pPr>
          </w:p>
        </w:tc>
        <w:tc>
          <w:tcPr>
            <w:tcW w:w="765" w:type="dxa"/>
            <w:noWrap w:val="0"/>
            <w:vAlign w:val="center"/>
          </w:tcPr>
          <w:p w14:paraId="39EFD8CC">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lang w:val="en-US" w:eastAsia="zh-CN"/>
              </w:rPr>
              <w:t>32</w:t>
            </w:r>
          </w:p>
        </w:tc>
        <w:tc>
          <w:tcPr>
            <w:tcW w:w="4660" w:type="dxa"/>
            <w:noWrap w:val="0"/>
            <w:vAlign w:val="center"/>
          </w:tcPr>
          <w:p w14:paraId="49CDE301">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left"/>
              <w:textAlignment w:val="auto"/>
              <w:rPr>
                <w:rFonts w:hint="eastAsia" w:ascii="仿宋" w:hAnsi="仿宋" w:eastAsia="仿宋" w:cs="仿宋"/>
                <w:snapToGrid w:val="0"/>
                <w:color w:val="000000"/>
                <w:spacing w:val="4"/>
                <w:sz w:val="24"/>
                <w:szCs w:val="24"/>
                <w:lang w:val="en-US" w:eastAsia="zh-CN"/>
              </w:rPr>
            </w:pPr>
            <w:r>
              <w:rPr>
                <w:rFonts w:hint="eastAsia" w:ascii="仿宋" w:hAnsi="仿宋" w:eastAsia="仿宋" w:cs="仿宋"/>
                <w:snapToGrid w:val="0"/>
                <w:color w:val="000000"/>
                <w:spacing w:val="4"/>
                <w:sz w:val="24"/>
                <w:szCs w:val="24"/>
              </w:rPr>
              <w:t>在各级各类检查评比活动中被点名批评或查出问题</w:t>
            </w:r>
            <w:r>
              <w:rPr>
                <w:rFonts w:hint="eastAsia" w:ascii="仿宋" w:hAnsi="仿宋" w:eastAsia="仿宋" w:cs="仿宋"/>
                <w:snapToGrid w:val="0"/>
                <w:color w:val="000000"/>
                <w:spacing w:val="4"/>
                <w:sz w:val="24"/>
                <w:szCs w:val="24"/>
                <w:lang w:eastAsia="zh-CN"/>
              </w:rPr>
              <w:t>。</w:t>
            </w:r>
          </w:p>
        </w:tc>
        <w:tc>
          <w:tcPr>
            <w:tcW w:w="3016" w:type="dxa"/>
            <w:noWrap w:val="0"/>
            <w:vAlign w:val="center"/>
          </w:tcPr>
          <w:p w14:paraId="341F5AE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snapToGrid w:val="0"/>
                <w:color w:val="000000"/>
                <w:spacing w:val="4"/>
                <w:sz w:val="24"/>
                <w:szCs w:val="24"/>
                <w:lang w:val="en-US" w:eastAsia="en-US"/>
              </w:rPr>
            </w:pPr>
            <w:r>
              <w:rPr>
                <w:rFonts w:hint="eastAsia" w:ascii="仿宋" w:hAnsi="仿宋" w:eastAsia="仿宋" w:cs="仿宋"/>
                <w:snapToGrid w:val="0"/>
                <w:color w:val="000000"/>
                <w:spacing w:val="4"/>
                <w:sz w:val="24"/>
                <w:szCs w:val="24"/>
              </w:rPr>
              <w:t>每次扣5-10分</w:t>
            </w:r>
          </w:p>
        </w:tc>
        <w:tc>
          <w:tcPr>
            <w:tcW w:w="486" w:type="dxa"/>
            <w:noWrap w:val="0"/>
            <w:vAlign w:val="center"/>
          </w:tcPr>
          <w:p w14:paraId="3701E2AB">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r w14:paraId="7D52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11" w:type="dxa"/>
            <w:noWrap w:val="0"/>
            <w:vAlign w:val="center"/>
          </w:tcPr>
          <w:p w14:paraId="50F4A203">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pacing w:val="-1"/>
                <w:sz w:val="24"/>
                <w:szCs w:val="24"/>
                <w:lang w:val="en-US" w:eastAsia="zh-CN"/>
              </w:rPr>
            </w:pPr>
            <w:r>
              <w:rPr>
                <w:rFonts w:hint="eastAsia" w:ascii="仿宋" w:hAnsi="仿宋" w:eastAsia="仿宋" w:cs="仿宋"/>
                <w:snapToGrid w:val="0"/>
                <w:color w:val="000000"/>
                <w:spacing w:val="4"/>
                <w:sz w:val="24"/>
                <w:szCs w:val="24"/>
                <w:lang w:val="en-US" w:eastAsia="zh-CN"/>
              </w:rPr>
              <w:t>合计</w:t>
            </w:r>
          </w:p>
        </w:tc>
        <w:tc>
          <w:tcPr>
            <w:tcW w:w="765" w:type="dxa"/>
            <w:noWrap w:val="0"/>
            <w:vAlign w:val="center"/>
          </w:tcPr>
          <w:p w14:paraId="3613BF1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pacing w:val="-1"/>
                <w:sz w:val="24"/>
                <w:szCs w:val="24"/>
                <w:lang w:val="en-US" w:eastAsia="zh-CN"/>
              </w:rPr>
            </w:pPr>
          </w:p>
        </w:tc>
        <w:tc>
          <w:tcPr>
            <w:tcW w:w="4660" w:type="dxa"/>
            <w:noWrap w:val="0"/>
            <w:vAlign w:val="center"/>
          </w:tcPr>
          <w:p w14:paraId="74D4B9E2">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1" w:firstLineChars="0"/>
              <w:jc w:val="center"/>
              <w:textAlignment w:val="auto"/>
              <w:rPr>
                <w:rFonts w:hint="eastAsia" w:ascii="仿宋" w:hAnsi="仿宋" w:eastAsia="仿宋" w:cs="仿宋"/>
                <w:b w:val="0"/>
                <w:bCs w:val="0"/>
                <w:snapToGrid w:val="0"/>
                <w:color w:val="000000"/>
                <w:spacing w:val="12"/>
                <w:sz w:val="24"/>
                <w:szCs w:val="24"/>
              </w:rPr>
            </w:pPr>
          </w:p>
        </w:tc>
        <w:tc>
          <w:tcPr>
            <w:tcW w:w="3016" w:type="dxa"/>
            <w:noWrap w:val="0"/>
            <w:vAlign w:val="center"/>
          </w:tcPr>
          <w:p w14:paraId="69922DFF">
            <w:pPr>
              <w:pStyle w:val="269"/>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pacing w:val="8"/>
                <w:sz w:val="24"/>
                <w:szCs w:val="24"/>
              </w:rPr>
            </w:pPr>
          </w:p>
        </w:tc>
        <w:tc>
          <w:tcPr>
            <w:tcW w:w="486" w:type="dxa"/>
            <w:noWrap w:val="0"/>
            <w:vAlign w:val="center"/>
          </w:tcPr>
          <w:p w14:paraId="55453F4C">
            <w:pPr>
              <w:keepNext w:val="0"/>
              <w:keepLines w:val="0"/>
              <w:pageBreakBefore w:val="0"/>
              <w:widowControl/>
              <w:kinsoku/>
              <w:wordWrap/>
              <w:overflowPunct/>
              <w:topLinePunct w:val="0"/>
              <w:autoSpaceDE/>
              <w:autoSpaceDN/>
              <w:bidi w:val="0"/>
              <w:adjustRightInd/>
              <w:snapToGrid/>
              <w:spacing w:line="360" w:lineRule="atLeast"/>
              <w:ind w:left="0" w:leftChars="0" w:right="0"/>
              <w:jc w:val="center"/>
              <w:textAlignment w:val="auto"/>
              <w:rPr>
                <w:rFonts w:hint="eastAsia" w:ascii="仿宋" w:hAnsi="仿宋" w:eastAsia="仿宋" w:cs="仿宋"/>
                <w:b w:val="0"/>
                <w:bCs w:val="0"/>
                <w:snapToGrid w:val="0"/>
                <w:color w:val="000000"/>
                <w:sz w:val="24"/>
                <w:szCs w:val="24"/>
              </w:rPr>
            </w:pPr>
          </w:p>
        </w:tc>
      </w:tr>
    </w:tbl>
    <w:p w14:paraId="37E22041">
      <w:pPr>
        <w:pStyle w:val="4"/>
        <w:pageBreakBefore w:val="0"/>
        <w:kinsoku/>
        <w:wordWrap/>
        <w:overflowPunct/>
        <w:topLinePunct w:val="0"/>
        <w:bidi w:val="0"/>
        <w:spacing w:before="0" w:line="192" w:lineRule="auto"/>
        <w:ind w:left="0" w:leftChars="0" w:right="0"/>
        <w:jc w:val="both"/>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备注：考核总分为100分，减去扣分后为最终得分。</w:t>
      </w:r>
    </w:p>
    <w:p w14:paraId="1A94628C">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321ADAD1">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47B74A85">
      <w:pPr>
        <w:pageBreakBefore w:val="0"/>
        <w:kinsoku/>
        <w:wordWrap/>
        <w:overflowPunct/>
        <w:topLinePunct w:val="0"/>
        <w:bidi w:val="0"/>
        <w:ind w:left="0" w:leftChars="0" w:right="0" w:firstLineChars="0"/>
        <w:jc w:val="both"/>
        <w:rPr>
          <w:rFonts w:hint="eastAsia" w:ascii="仿宋" w:hAnsi="仿宋" w:eastAsia="仿宋" w:cs="仿宋"/>
          <w:b/>
          <w:bCs/>
          <w:spacing w:val="-3"/>
          <w:sz w:val="28"/>
          <w:szCs w:val="28"/>
          <w:lang w:val="en-US" w:eastAsia="zh-CN"/>
        </w:rPr>
      </w:pPr>
    </w:p>
    <w:p w14:paraId="65F5D78B">
      <w:pPr>
        <w:pStyle w:val="4"/>
        <w:pageBreakBefore w:val="0"/>
        <w:kinsoku/>
        <w:wordWrap/>
        <w:overflowPunct/>
        <w:topLinePunct w:val="0"/>
        <w:bidi w:val="0"/>
        <w:spacing w:before="0" w:line="194" w:lineRule="auto"/>
        <w:ind w:left="0" w:leftChars="0" w:right="0" w:hanging="3"/>
        <w:jc w:val="center"/>
        <w:outlineLvl w:val="2"/>
        <w:rPr>
          <w:rFonts w:hint="eastAsia" w:ascii="仿宋" w:hAnsi="仿宋" w:eastAsia="仿宋" w:cs="仿宋"/>
          <w:sz w:val="28"/>
          <w:szCs w:val="28"/>
        </w:rPr>
      </w:pPr>
      <w:r>
        <w:rPr>
          <w:rFonts w:hint="eastAsia" w:ascii="仿宋" w:hAnsi="仿宋" w:eastAsia="仿宋" w:cs="仿宋"/>
          <w:b/>
          <w:bCs/>
          <w:spacing w:val="-3"/>
          <w:sz w:val="28"/>
          <w:szCs w:val="28"/>
          <w:lang w:val="en-US" w:eastAsia="zh-CN"/>
        </w:rPr>
        <w:br w:type="page"/>
      </w:r>
      <w:r>
        <w:rPr>
          <w:rFonts w:hint="eastAsia" w:ascii="仿宋" w:hAnsi="仿宋" w:eastAsia="仿宋" w:cs="仿宋"/>
          <w:b/>
          <w:bCs/>
          <w:spacing w:val="-3"/>
          <w:sz w:val="28"/>
          <w:szCs w:val="28"/>
          <w:lang w:val="en-US" w:eastAsia="zh-CN"/>
        </w:rPr>
        <w:t>（二）</w:t>
      </w:r>
      <w:r>
        <w:rPr>
          <w:rFonts w:hint="eastAsia" w:ascii="仿宋" w:hAnsi="仿宋" w:eastAsia="仿宋" w:cs="仿宋"/>
          <w:b/>
          <w:bCs/>
          <w:spacing w:val="-3"/>
          <w:sz w:val="28"/>
          <w:szCs w:val="28"/>
        </w:rPr>
        <w:t>食堂保洁服务考评细则</w:t>
      </w: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70"/>
        <w:gridCol w:w="5535"/>
        <w:gridCol w:w="2115"/>
        <w:gridCol w:w="566"/>
      </w:tblGrid>
      <w:tr w14:paraId="6399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noWrap w:val="0"/>
            <w:vAlign w:val="center"/>
          </w:tcPr>
          <w:p w14:paraId="44FEA51F">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rPr>
              <w:t>项目</w:t>
            </w:r>
          </w:p>
        </w:tc>
        <w:tc>
          <w:tcPr>
            <w:tcW w:w="770" w:type="dxa"/>
            <w:noWrap w:val="0"/>
            <w:vAlign w:val="center"/>
          </w:tcPr>
          <w:p w14:paraId="6B9E70A1">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序号</w:t>
            </w:r>
          </w:p>
        </w:tc>
        <w:tc>
          <w:tcPr>
            <w:tcW w:w="5535" w:type="dxa"/>
            <w:noWrap w:val="0"/>
            <w:vAlign w:val="center"/>
          </w:tcPr>
          <w:p w14:paraId="3E996E2F">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5"/>
                <w:kern w:val="0"/>
                <w:sz w:val="24"/>
                <w:szCs w:val="24"/>
              </w:rPr>
              <w:t>考核内容</w:t>
            </w:r>
          </w:p>
        </w:tc>
        <w:tc>
          <w:tcPr>
            <w:tcW w:w="2115" w:type="dxa"/>
            <w:noWrap w:val="0"/>
            <w:vAlign w:val="center"/>
          </w:tcPr>
          <w:p w14:paraId="3DF45BA6">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扣除分值</w:t>
            </w:r>
          </w:p>
        </w:tc>
        <w:tc>
          <w:tcPr>
            <w:tcW w:w="566" w:type="dxa"/>
            <w:noWrap w:val="0"/>
            <w:vAlign w:val="center"/>
          </w:tcPr>
          <w:p w14:paraId="49633E11">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rPr>
              <w:t>扣分</w:t>
            </w:r>
          </w:p>
        </w:tc>
      </w:tr>
      <w:tr w14:paraId="5E82B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tcBorders>
              <w:bottom w:val="nil"/>
            </w:tcBorders>
            <w:noWrap w:val="0"/>
            <w:vAlign w:val="center"/>
          </w:tcPr>
          <w:p w14:paraId="65D65ECB">
            <w:pPr>
              <w:pStyle w:val="269"/>
              <w:pageBreakBefore w:val="0"/>
              <w:kinsoku/>
              <w:wordWrap/>
              <w:overflowPunct/>
              <w:topLinePunct w:val="0"/>
              <w:bidi w:val="0"/>
              <w:spacing w:line="326" w:lineRule="auto"/>
              <w:ind w:left="0" w:leftChars="0" w:right="0" w:firstLine="2"/>
              <w:jc w:val="center"/>
              <w:rPr>
                <w:rFonts w:hint="eastAsia" w:ascii="仿宋" w:hAnsi="仿宋" w:eastAsia="仿宋" w:cs="仿宋"/>
                <w:b w:val="0"/>
                <w:bCs w:val="0"/>
                <w:snapToGrid w:val="0"/>
                <w:color w:val="000000"/>
                <w:kern w:val="0"/>
                <w:sz w:val="24"/>
                <w:szCs w:val="24"/>
              </w:rPr>
            </w:pPr>
            <w:r>
              <w:rPr>
                <w:rFonts w:hint="eastAsia" w:ascii="仿宋" w:hAnsi="仿宋" w:eastAsia="仿宋" w:cs="仿宋"/>
                <w:b w:val="0"/>
                <w:bCs w:val="0"/>
                <w:snapToGrid w:val="0"/>
                <w:color w:val="000000"/>
                <w:kern w:val="0"/>
                <w:sz w:val="24"/>
                <w:szCs w:val="24"/>
              </w:rPr>
              <w:t>行为</w:t>
            </w:r>
            <w:r>
              <w:rPr>
                <w:rFonts w:hint="eastAsia" w:ascii="仿宋" w:hAnsi="仿宋" w:eastAsia="仿宋" w:cs="仿宋"/>
                <w:b w:val="0"/>
                <w:bCs w:val="0"/>
                <w:snapToGrid w:val="0"/>
                <w:color w:val="000000"/>
                <w:spacing w:val="1"/>
                <w:kern w:val="0"/>
                <w:sz w:val="24"/>
                <w:szCs w:val="24"/>
              </w:rPr>
              <w:t>规范</w:t>
            </w:r>
          </w:p>
        </w:tc>
        <w:tc>
          <w:tcPr>
            <w:tcW w:w="770" w:type="dxa"/>
            <w:noWrap w:val="0"/>
            <w:vAlign w:val="center"/>
          </w:tcPr>
          <w:p w14:paraId="128F8646">
            <w:pPr>
              <w:pStyle w:val="269"/>
              <w:pageBreakBefore w:val="0"/>
              <w:kinsoku/>
              <w:wordWrap/>
              <w:overflowPunct/>
              <w:topLinePunct w:val="0"/>
              <w:bidi w:val="0"/>
              <w:spacing w:line="177"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rPr>
              <w:t>1</w:t>
            </w:r>
          </w:p>
        </w:tc>
        <w:tc>
          <w:tcPr>
            <w:tcW w:w="5535" w:type="dxa"/>
            <w:noWrap w:val="0"/>
            <w:vAlign w:val="center"/>
          </w:tcPr>
          <w:p w14:paraId="11799979">
            <w:pPr>
              <w:pStyle w:val="269"/>
              <w:pageBreakBefore w:val="0"/>
              <w:kinsoku/>
              <w:wordWrap/>
              <w:overflowPunct/>
              <w:topLinePunct w:val="0"/>
              <w:bidi w:val="0"/>
              <w:spacing w:line="17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7"/>
                <w:kern w:val="0"/>
                <w:sz w:val="24"/>
                <w:szCs w:val="24"/>
              </w:rPr>
              <w:t>不按规定统一着装</w:t>
            </w:r>
          </w:p>
        </w:tc>
        <w:tc>
          <w:tcPr>
            <w:tcW w:w="2115" w:type="dxa"/>
            <w:noWrap w:val="0"/>
            <w:vAlign w:val="center"/>
          </w:tcPr>
          <w:p w14:paraId="0413626F">
            <w:pPr>
              <w:pStyle w:val="269"/>
              <w:pageBreakBefore w:val="0"/>
              <w:kinsoku/>
              <w:wordWrap/>
              <w:overflowPunct/>
              <w:topLinePunct w:val="0"/>
              <w:bidi w:val="0"/>
              <w:spacing w:line="17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每人每次扣1分</w:t>
            </w:r>
          </w:p>
        </w:tc>
        <w:tc>
          <w:tcPr>
            <w:tcW w:w="566" w:type="dxa"/>
            <w:noWrap w:val="0"/>
            <w:vAlign w:val="center"/>
          </w:tcPr>
          <w:p w14:paraId="2E5DF9B8">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B769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413243C6">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595A17D6">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w:t>
            </w:r>
          </w:p>
        </w:tc>
        <w:tc>
          <w:tcPr>
            <w:tcW w:w="5535" w:type="dxa"/>
            <w:noWrap w:val="0"/>
            <w:vAlign w:val="center"/>
          </w:tcPr>
          <w:p w14:paraId="555924DC">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2"/>
                <w:kern w:val="0"/>
                <w:sz w:val="24"/>
                <w:szCs w:val="24"/>
                <w:lang w:eastAsia="zh-CN"/>
              </w:rPr>
              <w:t>工作时间干私事、脱岗、串岗、睡岗</w:t>
            </w:r>
          </w:p>
        </w:tc>
        <w:tc>
          <w:tcPr>
            <w:tcW w:w="2115" w:type="dxa"/>
            <w:noWrap w:val="0"/>
            <w:vAlign w:val="center"/>
          </w:tcPr>
          <w:p w14:paraId="72EC5CBF">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每人每次扣1分</w:t>
            </w:r>
          </w:p>
        </w:tc>
        <w:tc>
          <w:tcPr>
            <w:tcW w:w="566" w:type="dxa"/>
            <w:noWrap w:val="0"/>
            <w:vAlign w:val="center"/>
          </w:tcPr>
          <w:p w14:paraId="37FB87C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41F5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3BCB3677">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4E8502FE">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w:t>
            </w:r>
          </w:p>
        </w:tc>
        <w:tc>
          <w:tcPr>
            <w:tcW w:w="5535" w:type="dxa"/>
            <w:noWrap w:val="0"/>
            <w:vAlign w:val="center"/>
          </w:tcPr>
          <w:p w14:paraId="54AF4CFF">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4"/>
                <w:kern w:val="0"/>
                <w:sz w:val="24"/>
                <w:szCs w:val="24"/>
                <w:lang w:eastAsia="zh-CN"/>
              </w:rPr>
              <w:t>态度不端正，不服从工作安排，抵制工作</w:t>
            </w:r>
          </w:p>
        </w:tc>
        <w:tc>
          <w:tcPr>
            <w:tcW w:w="2115" w:type="dxa"/>
            <w:noWrap w:val="0"/>
            <w:vAlign w:val="center"/>
          </w:tcPr>
          <w:p w14:paraId="68797748">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每人每次扣1分</w:t>
            </w:r>
          </w:p>
        </w:tc>
        <w:tc>
          <w:tcPr>
            <w:tcW w:w="566" w:type="dxa"/>
            <w:noWrap w:val="0"/>
            <w:vAlign w:val="center"/>
          </w:tcPr>
          <w:p w14:paraId="29FFFAF9">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B90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5AE87EDB">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0EA217F6">
            <w:pPr>
              <w:pageBreakBefore w:val="0"/>
              <w:kinsoku/>
              <w:wordWrap/>
              <w:overflowPunct/>
              <w:topLinePunct w:val="0"/>
              <w:bidi w:val="0"/>
              <w:spacing w:line="337" w:lineRule="auto"/>
              <w:ind w:left="0" w:leftChars="0" w:right="0"/>
              <w:jc w:val="center"/>
              <w:rPr>
                <w:rFonts w:hint="eastAsia" w:ascii="仿宋" w:hAnsi="仿宋" w:eastAsia="仿宋" w:cs="仿宋"/>
                <w:snapToGrid w:val="0"/>
                <w:color w:val="000000"/>
                <w:kern w:val="0"/>
                <w:sz w:val="24"/>
                <w:szCs w:val="24"/>
                <w:lang w:eastAsia="en-US"/>
              </w:rPr>
            </w:pPr>
          </w:p>
          <w:p w14:paraId="6D39EE8E">
            <w:pPr>
              <w:pStyle w:val="269"/>
              <w:pageBreakBefore w:val="0"/>
              <w:kinsoku/>
              <w:wordWrap/>
              <w:overflowPunct/>
              <w:topLinePunct w:val="0"/>
              <w:bidi w:val="0"/>
              <w:spacing w:line="213"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w:t>
            </w:r>
          </w:p>
        </w:tc>
        <w:tc>
          <w:tcPr>
            <w:tcW w:w="5535" w:type="dxa"/>
            <w:noWrap w:val="0"/>
            <w:vAlign w:val="center"/>
          </w:tcPr>
          <w:p w14:paraId="37853C34">
            <w:pPr>
              <w:pStyle w:val="269"/>
              <w:pageBreakBefore w:val="0"/>
              <w:kinsoku/>
              <w:wordWrap/>
              <w:overflowPunct/>
              <w:topLinePunct w:val="0"/>
              <w:bidi w:val="0"/>
              <w:spacing w:line="241" w:lineRule="auto"/>
              <w:ind w:left="0" w:leftChars="0" w:right="0" w:firstLine="16"/>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岗位上存在吸烟、吃零食、看书报、会客、玩</w:t>
            </w:r>
            <w:r>
              <w:rPr>
                <w:rFonts w:hint="eastAsia" w:ascii="仿宋" w:hAnsi="仿宋" w:eastAsia="仿宋" w:cs="仿宋"/>
                <w:snapToGrid w:val="0"/>
                <w:color w:val="000000"/>
                <w:spacing w:val="-1"/>
                <w:kern w:val="0"/>
                <w:sz w:val="24"/>
                <w:szCs w:val="24"/>
                <w:lang w:eastAsia="zh-CN"/>
              </w:rPr>
              <w:t>手机、</w:t>
            </w:r>
            <w:r>
              <w:rPr>
                <w:rFonts w:hint="eastAsia" w:ascii="仿宋" w:hAnsi="仿宋" w:eastAsia="仿宋" w:cs="仿宋"/>
                <w:snapToGrid w:val="0"/>
                <w:color w:val="000000"/>
                <w:spacing w:val="4"/>
                <w:kern w:val="0"/>
                <w:sz w:val="24"/>
                <w:szCs w:val="24"/>
                <w:lang w:eastAsia="zh-CN"/>
              </w:rPr>
              <w:t>听收（录）音机，嬉戏、打闹等影响工作的现象</w:t>
            </w:r>
          </w:p>
        </w:tc>
        <w:tc>
          <w:tcPr>
            <w:tcW w:w="2115" w:type="dxa"/>
            <w:noWrap w:val="0"/>
            <w:vAlign w:val="center"/>
          </w:tcPr>
          <w:p w14:paraId="73B5D21F">
            <w:pPr>
              <w:pageBreakBefore w:val="0"/>
              <w:kinsoku/>
              <w:wordWrap/>
              <w:overflowPunct/>
              <w:topLinePunct w:val="0"/>
              <w:bidi w:val="0"/>
              <w:spacing w:line="272" w:lineRule="auto"/>
              <w:ind w:left="0" w:leftChars="0" w:right="0"/>
              <w:jc w:val="both"/>
              <w:rPr>
                <w:rFonts w:hint="eastAsia" w:ascii="仿宋" w:hAnsi="仿宋" w:eastAsia="仿宋" w:cs="仿宋"/>
                <w:snapToGrid w:val="0"/>
                <w:color w:val="000000"/>
                <w:kern w:val="0"/>
                <w:sz w:val="24"/>
                <w:szCs w:val="24"/>
                <w:lang w:eastAsia="zh-CN"/>
              </w:rPr>
            </w:pPr>
          </w:p>
          <w:p w14:paraId="3F3E6FDA">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每人每次扣1分</w:t>
            </w:r>
          </w:p>
        </w:tc>
        <w:tc>
          <w:tcPr>
            <w:tcW w:w="566" w:type="dxa"/>
            <w:noWrap w:val="0"/>
            <w:vAlign w:val="center"/>
          </w:tcPr>
          <w:p w14:paraId="7951CDD6">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599F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36F4D4C5">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2182D5A4">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5</w:t>
            </w:r>
          </w:p>
        </w:tc>
        <w:tc>
          <w:tcPr>
            <w:tcW w:w="5535" w:type="dxa"/>
            <w:noWrap w:val="0"/>
            <w:vAlign w:val="center"/>
          </w:tcPr>
          <w:p w14:paraId="56C94A9F">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工作期间有不文明行为</w:t>
            </w:r>
          </w:p>
        </w:tc>
        <w:tc>
          <w:tcPr>
            <w:tcW w:w="2115" w:type="dxa"/>
            <w:noWrap w:val="0"/>
            <w:vAlign w:val="center"/>
          </w:tcPr>
          <w:p w14:paraId="2F12A5D4">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每人每次扣1分</w:t>
            </w:r>
          </w:p>
        </w:tc>
        <w:tc>
          <w:tcPr>
            <w:tcW w:w="566" w:type="dxa"/>
            <w:noWrap w:val="0"/>
            <w:vAlign w:val="center"/>
          </w:tcPr>
          <w:p w14:paraId="3C85DAAD">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1E885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67EF1CAB">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307E29FC">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6</w:t>
            </w:r>
          </w:p>
        </w:tc>
        <w:tc>
          <w:tcPr>
            <w:tcW w:w="5535" w:type="dxa"/>
            <w:noWrap w:val="0"/>
            <w:vAlign w:val="center"/>
          </w:tcPr>
          <w:p w14:paraId="35D2A4F7">
            <w:pPr>
              <w:pStyle w:val="269"/>
              <w:pageBreakBefore w:val="0"/>
              <w:kinsoku/>
              <w:wordWrap/>
              <w:overflowPunct/>
              <w:topLinePunct w:val="0"/>
              <w:bidi w:val="0"/>
              <w:spacing w:line="175"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4"/>
                <w:kern w:val="0"/>
                <w:sz w:val="24"/>
                <w:szCs w:val="24"/>
                <w:lang w:eastAsia="zh-CN"/>
              </w:rPr>
              <w:t>工作间、卫生间、楼道等处存放废品、杂物</w:t>
            </w:r>
          </w:p>
        </w:tc>
        <w:tc>
          <w:tcPr>
            <w:tcW w:w="2115" w:type="dxa"/>
            <w:noWrap w:val="0"/>
            <w:vAlign w:val="center"/>
          </w:tcPr>
          <w:p w14:paraId="1CE16FC1">
            <w:pPr>
              <w:pStyle w:val="269"/>
              <w:pageBreakBefore w:val="0"/>
              <w:kinsoku/>
              <w:wordWrap/>
              <w:overflowPunct/>
              <w:topLinePunct w:val="0"/>
              <w:bidi w:val="0"/>
              <w:spacing w:line="175"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每人每次扣2分</w:t>
            </w:r>
          </w:p>
        </w:tc>
        <w:tc>
          <w:tcPr>
            <w:tcW w:w="566" w:type="dxa"/>
            <w:noWrap w:val="0"/>
            <w:vAlign w:val="center"/>
          </w:tcPr>
          <w:p w14:paraId="2CBCCFB5">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08F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bottom w:val="nil"/>
            </w:tcBorders>
            <w:noWrap w:val="0"/>
            <w:vAlign w:val="center"/>
          </w:tcPr>
          <w:p w14:paraId="7FA89972">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1A6D38EF">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7</w:t>
            </w:r>
          </w:p>
        </w:tc>
        <w:tc>
          <w:tcPr>
            <w:tcW w:w="5535" w:type="dxa"/>
            <w:noWrap w:val="0"/>
            <w:vAlign w:val="center"/>
          </w:tcPr>
          <w:p w14:paraId="10739791">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7"/>
                <w:kern w:val="0"/>
                <w:sz w:val="24"/>
                <w:szCs w:val="24"/>
                <w:lang w:eastAsia="zh-CN"/>
              </w:rPr>
              <w:t>与同事或师生发生言语冲突、肢体冲突</w:t>
            </w:r>
          </w:p>
        </w:tc>
        <w:tc>
          <w:tcPr>
            <w:tcW w:w="2115" w:type="dxa"/>
            <w:noWrap w:val="0"/>
            <w:vAlign w:val="center"/>
          </w:tcPr>
          <w:p w14:paraId="3C10ABAC">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每人每次扣2分</w:t>
            </w:r>
          </w:p>
        </w:tc>
        <w:tc>
          <w:tcPr>
            <w:tcW w:w="566" w:type="dxa"/>
            <w:noWrap w:val="0"/>
            <w:vAlign w:val="center"/>
          </w:tcPr>
          <w:p w14:paraId="6ABBB6D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5DB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nil"/>
            </w:tcBorders>
            <w:noWrap w:val="0"/>
            <w:vAlign w:val="center"/>
          </w:tcPr>
          <w:p w14:paraId="5B130AC4">
            <w:pPr>
              <w:pageBreakBefore w:val="0"/>
              <w:kinsoku/>
              <w:wordWrap/>
              <w:overflowPunct/>
              <w:topLinePunct w:val="0"/>
              <w:bidi w:val="0"/>
              <w:ind w:left="0" w:leftChars="0" w:right="0"/>
              <w:jc w:val="center"/>
              <w:rPr>
                <w:rFonts w:hint="eastAsia" w:ascii="仿宋" w:hAnsi="仿宋" w:eastAsia="仿宋" w:cs="仿宋"/>
                <w:b w:val="0"/>
                <w:bCs w:val="0"/>
                <w:snapToGrid w:val="0"/>
                <w:color w:val="000000"/>
                <w:kern w:val="0"/>
                <w:sz w:val="24"/>
                <w:szCs w:val="24"/>
                <w:lang w:eastAsia="en-US"/>
              </w:rPr>
            </w:pPr>
          </w:p>
        </w:tc>
        <w:tc>
          <w:tcPr>
            <w:tcW w:w="770" w:type="dxa"/>
            <w:noWrap w:val="0"/>
            <w:vAlign w:val="center"/>
          </w:tcPr>
          <w:p w14:paraId="79011B0A">
            <w:pPr>
              <w:pStyle w:val="269"/>
              <w:pageBreakBefore w:val="0"/>
              <w:kinsoku/>
              <w:wordWrap/>
              <w:overflowPunct/>
              <w:topLinePunct w:val="0"/>
              <w:bidi w:val="0"/>
              <w:spacing w:line="200"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8</w:t>
            </w:r>
          </w:p>
        </w:tc>
        <w:tc>
          <w:tcPr>
            <w:tcW w:w="5535" w:type="dxa"/>
            <w:noWrap w:val="0"/>
            <w:vAlign w:val="center"/>
          </w:tcPr>
          <w:p w14:paraId="2C2A5DEC">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3"/>
                <w:kern w:val="0"/>
                <w:sz w:val="24"/>
                <w:szCs w:val="24"/>
                <w:lang w:eastAsia="zh-CN"/>
              </w:rPr>
              <w:t>员工发生违法、违规、违纪行为</w:t>
            </w:r>
          </w:p>
        </w:tc>
        <w:tc>
          <w:tcPr>
            <w:tcW w:w="2115" w:type="dxa"/>
            <w:noWrap w:val="0"/>
            <w:vAlign w:val="center"/>
          </w:tcPr>
          <w:p w14:paraId="10375244">
            <w:pPr>
              <w:pStyle w:val="269"/>
              <w:pageBreakBefore w:val="0"/>
              <w:kinsoku/>
              <w:wordWrap/>
              <w:overflowPunct/>
              <w:topLinePunct w:val="0"/>
              <w:bidi w:val="0"/>
              <w:spacing w:line="166" w:lineRule="auto"/>
              <w:ind w:left="0" w:leftChars="0" w:right="0" w:firstLine="3"/>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5"/>
                <w:kern w:val="0"/>
                <w:sz w:val="24"/>
                <w:szCs w:val="24"/>
                <w:lang w:eastAsia="zh-CN"/>
              </w:rPr>
              <w:t>每人每次扣5-10分，并辞</w:t>
            </w:r>
            <w:r>
              <w:rPr>
                <w:rFonts w:hint="eastAsia" w:ascii="仿宋" w:hAnsi="仿宋" w:eastAsia="仿宋" w:cs="仿宋"/>
                <w:snapToGrid w:val="0"/>
                <w:color w:val="000000"/>
                <w:spacing w:val="6"/>
                <w:kern w:val="0"/>
                <w:sz w:val="24"/>
                <w:szCs w:val="24"/>
                <w:lang w:eastAsia="zh-CN"/>
              </w:rPr>
              <w:t>退相关员工</w:t>
            </w:r>
          </w:p>
        </w:tc>
        <w:tc>
          <w:tcPr>
            <w:tcW w:w="566" w:type="dxa"/>
            <w:noWrap w:val="0"/>
            <w:vAlign w:val="center"/>
          </w:tcPr>
          <w:p w14:paraId="6084F9E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zh-CN"/>
              </w:rPr>
            </w:pPr>
          </w:p>
        </w:tc>
      </w:tr>
      <w:tr w14:paraId="4F31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noWrap w:val="0"/>
            <w:vAlign w:val="center"/>
          </w:tcPr>
          <w:p w14:paraId="5A6433B5">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kern w:val="0"/>
                <w:sz w:val="24"/>
                <w:szCs w:val="24"/>
                <w:lang w:eastAsia="zh-CN"/>
              </w:rPr>
            </w:pPr>
            <w:r>
              <w:rPr>
                <w:rFonts w:hint="eastAsia" w:ascii="仿宋" w:hAnsi="仿宋" w:eastAsia="仿宋" w:cs="仿宋"/>
                <w:b w:val="0"/>
                <w:bCs w:val="0"/>
                <w:snapToGrid w:val="0"/>
                <w:color w:val="000000"/>
                <w:spacing w:val="-1"/>
                <w:kern w:val="0"/>
                <w:sz w:val="24"/>
                <w:szCs w:val="24"/>
              </w:rPr>
              <w:t>卫生</w:t>
            </w:r>
            <w:r>
              <w:rPr>
                <w:rFonts w:hint="eastAsia" w:ascii="仿宋" w:hAnsi="仿宋" w:eastAsia="仿宋" w:cs="仿宋"/>
                <w:b w:val="0"/>
                <w:bCs w:val="0"/>
                <w:snapToGrid w:val="0"/>
                <w:color w:val="000000"/>
                <w:spacing w:val="-1"/>
                <w:kern w:val="0"/>
                <w:sz w:val="24"/>
                <w:szCs w:val="24"/>
                <w:lang w:eastAsia="zh-CN"/>
              </w:rPr>
              <w:t>保洁</w:t>
            </w:r>
          </w:p>
        </w:tc>
        <w:tc>
          <w:tcPr>
            <w:tcW w:w="770" w:type="dxa"/>
            <w:noWrap w:val="0"/>
            <w:vAlign w:val="center"/>
          </w:tcPr>
          <w:p w14:paraId="2F35B057">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9</w:t>
            </w:r>
          </w:p>
        </w:tc>
        <w:tc>
          <w:tcPr>
            <w:tcW w:w="5535" w:type="dxa"/>
            <w:noWrap w:val="0"/>
            <w:vAlign w:val="center"/>
          </w:tcPr>
          <w:p w14:paraId="39879135">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2"/>
                <w:kern w:val="0"/>
                <w:sz w:val="24"/>
                <w:szCs w:val="24"/>
                <w:lang w:eastAsia="zh-CN"/>
              </w:rPr>
              <w:t>同一时间单个食堂</w:t>
            </w:r>
            <w:r>
              <w:rPr>
                <w:rFonts w:hint="eastAsia" w:ascii="仿宋" w:hAnsi="仿宋" w:eastAsia="仿宋" w:cs="仿宋"/>
                <w:snapToGrid w:val="0"/>
                <w:color w:val="000000"/>
                <w:spacing w:val="2"/>
                <w:kern w:val="0"/>
                <w:sz w:val="24"/>
                <w:szCs w:val="24"/>
                <w:lang w:val="en-US" w:eastAsia="zh-CN"/>
              </w:rPr>
              <w:t>未</w:t>
            </w:r>
            <w:r>
              <w:rPr>
                <w:rFonts w:hint="eastAsia" w:ascii="仿宋" w:hAnsi="仿宋" w:eastAsia="仿宋" w:cs="仿宋"/>
                <w:snapToGrid w:val="0"/>
                <w:color w:val="000000"/>
                <w:spacing w:val="2"/>
                <w:kern w:val="0"/>
                <w:sz w:val="24"/>
                <w:szCs w:val="24"/>
                <w:lang w:eastAsia="zh-CN"/>
              </w:rPr>
              <w:t>收拾餐桌超过5个</w:t>
            </w:r>
          </w:p>
        </w:tc>
        <w:tc>
          <w:tcPr>
            <w:tcW w:w="2115" w:type="dxa"/>
            <w:noWrap w:val="0"/>
            <w:vAlign w:val="center"/>
          </w:tcPr>
          <w:p w14:paraId="0077CB16">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2B65521A">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670A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BE469FA">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16E8F8CC">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10</w:t>
            </w:r>
          </w:p>
        </w:tc>
        <w:tc>
          <w:tcPr>
            <w:tcW w:w="5535" w:type="dxa"/>
            <w:noWrap w:val="0"/>
            <w:vAlign w:val="center"/>
          </w:tcPr>
          <w:p w14:paraId="68C491DA">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5"/>
                <w:kern w:val="0"/>
                <w:sz w:val="24"/>
                <w:szCs w:val="24"/>
                <w:lang w:eastAsia="zh-CN"/>
              </w:rPr>
              <w:t>地面有污渍、垃圾、有卫生死角</w:t>
            </w:r>
          </w:p>
        </w:tc>
        <w:tc>
          <w:tcPr>
            <w:tcW w:w="2115" w:type="dxa"/>
            <w:noWrap w:val="0"/>
            <w:vAlign w:val="center"/>
          </w:tcPr>
          <w:p w14:paraId="2FEAA867">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13826C85">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ED9B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63861481">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65ADA847">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11</w:t>
            </w:r>
          </w:p>
        </w:tc>
        <w:tc>
          <w:tcPr>
            <w:tcW w:w="5535" w:type="dxa"/>
            <w:noWrap w:val="0"/>
            <w:vAlign w:val="center"/>
          </w:tcPr>
          <w:p w14:paraId="0095CB91">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6"/>
                <w:kern w:val="0"/>
                <w:sz w:val="24"/>
                <w:szCs w:val="24"/>
                <w:lang w:eastAsia="zh-CN"/>
              </w:rPr>
              <w:t>墙壁及附着设施上有尘土、虫网</w:t>
            </w:r>
          </w:p>
        </w:tc>
        <w:tc>
          <w:tcPr>
            <w:tcW w:w="2115" w:type="dxa"/>
            <w:noWrap w:val="0"/>
            <w:vAlign w:val="center"/>
          </w:tcPr>
          <w:p w14:paraId="7D0B6507">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2B2BED67">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63B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372A5345">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1CBF8071">
            <w:pPr>
              <w:pStyle w:val="269"/>
              <w:pageBreakBefore w:val="0"/>
              <w:kinsoku/>
              <w:wordWrap/>
              <w:overflowPunct/>
              <w:topLinePunct w:val="0"/>
              <w:bidi w:val="0"/>
              <w:spacing w:line="176"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12</w:t>
            </w:r>
          </w:p>
        </w:tc>
        <w:tc>
          <w:tcPr>
            <w:tcW w:w="5535" w:type="dxa"/>
            <w:noWrap w:val="0"/>
            <w:vAlign w:val="center"/>
          </w:tcPr>
          <w:p w14:paraId="0ACEC623">
            <w:pPr>
              <w:pStyle w:val="269"/>
              <w:pageBreakBefore w:val="0"/>
              <w:kinsoku/>
              <w:wordWrap/>
              <w:overflowPunct/>
              <w:topLinePunct w:val="0"/>
              <w:bidi w:val="0"/>
              <w:spacing w:line="192"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2"/>
                <w:kern w:val="0"/>
                <w:sz w:val="24"/>
                <w:szCs w:val="24"/>
                <w:lang w:eastAsia="zh-CN"/>
              </w:rPr>
              <w:t>窗台、门头有积灰，玻璃不洁净</w:t>
            </w:r>
          </w:p>
        </w:tc>
        <w:tc>
          <w:tcPr>
            <w:tcW w:w="2115" w:type="dxa"/>
            <w:noWrap w:val="0"/>
            <w:vAlign w:val="center"/>
          </w:tcPr>
          <w:p w14:paraId="431F8CCD">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41D37B3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5F55C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6FA7295">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4102744E">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13</w:t>
            </w:r>
          </w:p>
        </w:tc>
        <w:tc>
          <w:tcPr>
            <w:tcW w:w="5535" w:type="dxa"/>
            <w:noWrap w:val="0"/>
            <w:vAlign w:val="center"/>
          </w:tcPr>
          <w:p w14:paraId="403A28AE">
            <w:pPr>
              <w:pStyle w:val="269"/>
              <w:pageBreakBefore w:val="0"/>
              <w:kinsoku/>
              <w:wordWrap/>
              <w:overflowPunct/>
              <w:topLinePunct w:val="0"/>
              <w:bidi w:val="0"/>
              <w:spacing w:line="191"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7"/>
                <w:kern w:val="0"/>
                <w:sz w:val="24"/>
                <w:szCs w:val="24"/>
                <w:lang w:eastAsia="zh-CN"/>
              </w:rPr>
              <w:t>卫生用具未存放到正确位置</w:t>
            </w:r>
          </w:p>
        </w:tc>
        <w:tc>
          <w:tcPr>
            <w:tcW w:w="2115" w:type="dxa"/>
            <w:noWrap w:val="0"/>
            <w:vAlign w:val="center"/>
          </w:tcPr>
          <w:p w14:paraId="311F3E5E">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3588E4C3">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E3FE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2B91ADD5">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295A48FB">
            <w:pPr>
              <w:pStyle w:val="269"/>
              <w:pageBreakBefore w:val="0"/>
              <w:kinsoku/>
              <w:wordWrap/>
              <w:overflowPunct/>
              <w:topLinePunct w:val="0"/>
              <w:bidi w:val="0"/>
              <w:spacing w:line="174"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14</w:t>
            </w:r>
          </w:p>
        </w:tc>
        <w:tc>
          <w:tcPr>
            <w:tcW w:w="5535" w:type="dxa"/>
            <w:noWrap w:val="0"/>
            <w:vAlign w:val="center"/>
          </w:tcPr>
          <w:p w14:paraId="3FB173BE">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
                <w:kern w:val="0"/>
                <w:sz w:val="24"/>
                <w:szCs w:val="24"/>
                <w:lang w:eastAsia="zh-CN"/>
              </w:rPr>
              <w:t>空调管线未及时除尘</w:t>
            </w:r>
          </w:p>
        </w:tc>
        <w:tc>
          <w:tcPr>
            <w:tcW w:w="2115" w:type="dxa"/>
            <w:noWrap w:val="0"/>
            <w:vAlign w:val="center"/>
          </w:tcPr>
          <w:p w14:paraId="12E4C9C3">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每次扣1分</w:t>
            </w:r>
          </w:p>
        </w:tc>
        <w:tc>
          <w:tcPr>
            <w:tcW w:w="566" w:type="dxa"/>
            <w:noWrap w:val="0"/>
            <w:vAlign w:val="center"/>
          </w:tcPr>
          <w:p w14:paraId="79C654C4">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1216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B871A27">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38D84771">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15</w:t>
            </w:r>
          </w:p>
        </w:tc>
        <w:tc>
          <w:tcPr>
            <w:tcW w:w="5535" w:type="dxa"/>
            <w:noWrap w:val="0"/>
            <w:vAlign w:val="center"/>
          </w:tcPr>
          <w:p w14:paraId="7BE6C72A">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不按规定清理餐具和清运垃圾</w:t>
            </w:r>
          </w:p>
        </w:tc>
        <w:tc>
          <w:tcPr>
            <w:tcW w:w="2115" w:type="dxa"/>
            <w:noWrap w:val="0"/>
            <w:vAlign w:val="center"/>
          </w:tcPr>
          <w:p w14:paraId="1D606085">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每次扣1分</w:t>
            </w:r>
          </w:p>
        </w:tc>
        <w:tc>
          <w:tcPr>
            <w:tcW w:w="566" w:type="dxa"/>
            <w:noWrap w:val="0"/>
            <w:vAlign w:val="center"/>
          </w:tcPr>
          <w:p w14:paraId="7B6A76B3">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1B1D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1EBF2231">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6EDE99FF">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16</w:t>
            </w:r>
          </w:p>
        </w:tc>
        <w:tc>
          <w:tcPr>
            <w:tcW w:w="5535" w:type="dxa"/>
            <w:noWrap w:val="0"/>
            <w:vAlign w:val="center"/>
          </w:tcPr>
          <w:p w14:paraId="22873496">
            <w:pPr>
              <w:pStyle w:val="269"/>
              <w:pageBreakBefore w:val="0"/>
              <w:kinsoku/>
              <w:wordWrap/>
              <w:overflowPunct/>
              <w:topLinePunct w:val="0"/>
              <w:bidi w:val="0"/>
              <w:spacing w:line="199"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6"/>
                <w:kern w:val="0"/>
                <w:sz w:val="24"/>
                <w:szCs w:val="24"/>
              </w:rPr>
              <w:t>垃圾桶（箱）不整洁或有异味</w:t>
            </w:r>
          </w:p>
        </w:tc>
        <w:tc>
          <w:tcPr>
            <w:tcW w:w="2115" w:type="dxa"/>
            <w:noWrap w:val="0"/>
            <w:vAlign w:val="center"/>
          </w:tcPr>
          <w:p w14:paraId="7DEDCDD7">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每次每个扣1分</w:t>
            </w:r>
          </w:p>
        </w:tc>
        <w:tc>
          <w:tcPr>
            <w:tcW w:w="566" w:type="dxa"/>
            <w:noWrap w:val="0"/>
            <w:vAlign w:val="center"/>
          </w:tcPr>
          <w:p w14:paraId="0A128958">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071F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E748A0C">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22D853A7">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3"/>
                <w:kern w:val="0"/>
                <w:sz w:val="24"/>
                <w:szCs w:val="24"/>
                <w:lang w:eastAsia="zh-CN"/>
              </w:rPr>
              <w:t>17</w:t>
            </w:r>
          </w:p>
        </w:tc>
        <w:tc>
          <w:tcPr>
            <w:tcW w:w="5535" w:type="dxa"/>
            <w:noWrap w:val="0"/>
            <w:vAlign w:val="center"/>
          </w:tcPr>
          <w:p w14:paraId="7C916F17">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垃圾桶内垃圾量超过容量的五分之四</w:t>
            </w:r>
          </w:p>
        </w:tc>
        <w:tc>
          <w:tcPr>
            <w:tcW w:w="2115" w:type="dxa"/>
            <w:noWrap w:val="0"/>
            <w:vAlign w:val="center"/>
          </w:tcPr>
          <w:p w14:paraId="71DC4821">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4E03BF52">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84F9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67DAAF28">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23C125E8">
            <w:pPr>
              <w:pStyle w:val="269"/>
              <w:pageBreakBefore w:val="0"/>
              <w:kinsoku/>
              <w:wordWrap/>
              <w:overflowPunct/>
              <w:topLinePunct w:val="0"/>
              <w:bidi w:val="0"/>
              <w:spacing w:line="175"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18</w:t>
            </w:r>
          </w:p>
        </w:tc>
        <w:tc>
          <w:tcPr>
            <w:tcW w:w="5535" w:type="dxa"/>
            <w:noWrap w:val="0"/>
            <w:vAlign w:val="center"/>
          </w:tcPr>
          <w:p w14:paraId="44367A7B">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6"/>
                <w:kern w:val="0"/>
                <w:sz w:val="24"/>
                <w:szCs w:val="24"/>
                <w:lang w:eastAsia="zh-CN"/>
              </w:rPr>
              <w:t>楼梯台阶不洁净、有卫生死角、打扫不到位</w:t>
            </w:r>
          </w:p>
        </w:tc>
        <w:tc>
          <w:tcPr>
            <w:tcW w:w="2115" w:type="dxa"/>
            <w:noWrap w:val="0"/>
            <w:vAlign w:val="center"/>
          </w:tcPr>
          <w:p w14:paraId="345C511B">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6CAC4458">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0C8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1D148C4D">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39E15F2F">
            <w:pPr>
              <w:pStyle w:val="269"/>
              <w:pageBreakBefore w:val="0"/>
              <w:kinsoku/>
              <w:wordWrap/>
              <w:overflowPunct/>
              <w:topLinePunct w:val="0"/>
              <w:bidi w:val="0"/>
              <w:spacing w:line="174"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
                <w:kern w:val="0"/>
                <w:sz w:val="24"/>
                <w:szCs w:val="24"/>
                <w:lang w:eastAsia="zh-CN"/>
              </w:rPr>
              <w:t>19</w:t>
            </w:r>
          </w:p>
        </w:tc>
        <w:tc>
          <w:tcPr>
            <w:tcW w:w="5535" w:type="dxa"/>
            <w:noWrap w:val="0"/>
            <w:vAlign w:val="center"/>
          </w:tcPr>
          <w:p w14:paraId="5D3BDA77">
            <w:pPr>
              <w:pStyle w:val="269"/>
              <w:pageBreakBefore w:val="0"/>
              <w:kinsoku/>
              <w:wordWrap/>
              <w:overflowPunct/>
              <w:topLinePunct w:val="0"/>
              <w:bidi w:val="0"/>
              <w:spacing w:line="198"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5"/>
                <w:kern w:val="0"/>
                <w:sz w:val="24"/>
                <w:szCs w:val="24"/>
                <w:lang w:eastAsia="zh-CN"/>
              </w:rPr>
              <w:t>卫生间有异味</w:t>
            </w:r>
          </w:p>
        </w:tc>
        <w:tc>
          <w:tcPr>
            <w:tcW w:w="2115" w:type="dxa"/>
            <w:noWrap w:val="0"/>
            <w:vAlign w:val="center"/>
          </w:tcPr>
          <w:p w14:paraId="76BAFBE6">
            <w:pPr>
              <w:pStyle w:val="269"/>
              <w:pageBreakBefore w:val="0"/>
              <w:kinsoku/>
              <w:wordWrap/>
              <w:overflowPunct/>
              <w:topLinePunct w:val="0"/>
              <w:bidi w:val="0"/>
              <w:spacing w:line="198"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79DFFD9C">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215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561F4A96">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1510A7A4">
            <w:pPr>
              <w:pStyle w:val="269"/>
              <w:pageBreakBefore w:val="0"/>
              <w:kinsoku/>
              <w:wordWrap/>
              <w:overflowPunct/>
              <w:topLinePunct w:val="0"/>
              <w:bidi w:val="0"/>
              <w:spacing w:line="173"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20</w:t>
            </w:r>
          </w:p>
        </w:tc>
        <w:tc>
          <w:tcPr>
            <w:tcW w:w="5535" w:type="dxa"/>
            <w:noWrap w:val="0"/>
            <w:vAlign w:val="center"/>
          </w:tcPr>
          <w:p w14:paraId="2ED34921">
            <w:pPr>
              <w:pStyle w:val="269"/>
              <w:pageBreakBefore w:val="0"/>
              <w:kinsoku/>
              <w:wordWrap/>
              <w:overflowPunct/>
              <w:topLinePunct w:val="0"/>
              <w:bidi w:val="0"/>
              <w:spacing w:line="199"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3"/>
                <w:kern w:val="0"/>
                <w:sz w:val="24"/>
                <w:szCs w:val="24"/>
                <w:lang w:eastAsia="zh-CN"/>
              </w:rPr>
              <w:t>不锈钢件、窗台、玻璃不洁净</w:t>
            </w:r>
          </w:p>
        </w:tc>
        <w:tc>
          <w:tcPr>
            <w:tcW w:w="2115" w:type="dxa"/>
            <w:noWrap w:val="0"/>
            <w:vAlign w:val="center"/>
          </w:tcPr>
          <w:p w14:paraId="1A0DBE13">
            <w:pPr>
              <w:pStyle w:val="269"/>
              <w:pageBreakBefore w:val="0"/>
              <w:kinsoku/>
              <w:wordWrap/>
              <w:overflowPunct/>
              <w:topLinePunct w:val="0"/>
              <w:bidi w:val="0"/>
              <w:spacing w:line="198"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213A81A7">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564B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B5AAFCC">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5FF55050">
            <w:pPr>
              <w:pStyle w:val="269"/>
              <w:pageBreakBefore w:val="0"/>
              <w:kinsoku/>
              <w:wordWrap/>
              <w:overflowPunct/>
              <w:topLinePunct w:val="0"/>
              <w:bidi w:val="0"/>
              <w:spacing w:line="173"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21</w:t>
            </w:r>
          </w:p>
        </w:tc>
        <w:tc>
          <w:tcPr>
            <w:tcW w:w="5535" w:type="dxa"/>
            <w:noWrap w:val="0"/>
            <w:vAlign w:val="center"/>
          </w:tcPr>
          <w:p w14:paraId="4D8FC2C6">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4"/>
                <w:kern w:val="0"/>
                <w:sz w:val="24"/>
                <w:szCs w:val="24"/>
                <w:lang w:eastAsia="zh-CN"/>
              </w:rPr>
              <w:t>便池有污垢、污物</w:t>
            </w:r>
          </w:p>
        </w:tc>
        <w:tc>
          <w:tcPr>
            <w:tcW w:w="2115" w:type="dxa"/>
            <w:noWrap w:val="0"/>
            <w:vAlign w:val="center"/>
          </w:tcPr>
          <w:p w14:paraId="13F85C1C">
            <w:pPr>
              <w:pStyle w:val="269"/>
              <w:pageBreakBefore w:val="0"/>
              <w:kinsoku/>
              <w:wordWrap/>
              <w:overflowPunct/>
              <w:topLinePunct w:val="0"/>
              <w:bidi w:val="0"/>
              <w:spacing w:line="199"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650F9B7C">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7FE7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552052A4">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5136D7BA">
            <w:pPr>
              <w:pStyle w:val="269"/>
              <w:pageBreakBefore w:val="0"/>
              <w:kinsoku/>
              <w:wordWrap/>
              <w:overflowPunct/>
              <w:topLinePunct w:val="0"/>
              <w:bidi w:val="0"/>
              <w:spacing w:line="157"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22</w:t>
            </w:r>
          </w:p>
        </w:tc>
        <w:tc>
          <w:tcPr>
            <w:tcW w:w="5535" w:type="dxa"/>
            <w:noWrap w:val="0"/>
            <w:vAlign w:val="center"/>
          </w:tcPr>
          <w:p w14:paraId="2451652A">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5"/>
                <w:kern w:val="0"/>
                <w:sz w:val="24"/>
                <w:szCs w:val="24"/>
                <w:lang w:eastAsia="zh-CN"/>
              </w:rPr>
              <w:t>卫生工具摆放乱、不规范</w:t>
            </w:r>
          </w:p>
        </w:tc>
        <w:tc>
          <w:tcPr>
            <w:tcW w:w="2115" w:type="dxa"/>
            <w:noWrap w:val="0"/>
            <w:vAlign w:val="center"/>
          </w:tcPr>
          <w:p w14:paraId="1BB3F5DE">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631A4126">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FFA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3D7094D1">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703476A1">
            <w:pPr>
              <w:pStyle w:val="269"/>
              <w:pageBreakBefore w:val="0"/>
              <w:kinsoku/>
              <w:wordWrap/>
              <w:overflowPunct/>
              <w:topLinePunct w:val="0"/>
              <w:bidi w:val="0"/>
              <w:spacing w:line="157"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23</w:t>
            </w:r>
          </w:p>
        </w:tc>
        <w:tc>
          <w:tcPr>
            <w:tcW w:w="5535" w:type="dxa"/>
            <w:noWrap w:val="0"/>
            <w:vAlign w:val="center"/>
          </w:tcPr>
          <w:p w14:paraId="6CB2B982">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小广告等粘贴物清理不及时</w:t>
            </w:r>
          </w:p>
        </w:tc>
        <w:tc>
          <w:tcPr>
            <w:tcW w:w="2115" w:type="dxa"/>
            <w:noWrap w:val="0"/>
            <w:vAlign w:val="center"/>
          </w:tcPr>
          <w:p w14:paraId="29F0DB58">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6B9751DB">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92B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70476D7">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71E4F2C1">
            <w:pPr>
              <w:pStyle w:val="269"/>
              <w:pageBreakBefore w:val="0"/>
              <w:kinsoku/>
              <w:wordWrap/>
              <w:overflowPunct/>
              <w:topLinePunct w:val="0"/>
              <w:bidi w:val="0"/>
              <w:spacing w:line="157"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24</w:t>
            </w:r>
          </w:p>
        </w:tc>
        <w:tc>
          <w:tcPr>
            <w:tcW w:w="5535" w:type="dxa"/>
            <w:noWrap w:val="0"/>
            <w:vAlign w:val="center"/>
          </w:tcPr>
          <w:p w14:paraId="16C82255">
            <w:pPr>
              <w:pStyle w:val="269"/>
              <w:pageBreakBefore w:val="0"/>
              <w:kinsoku/>
              <w:wordWrap/>
              <w:overflowPunct/>
              <w:topLinePunct w:val="0"/>
              <w:bidi w:val="0"/>
              <w:spacing w:line="238" w:lineRule="exact"/>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5"/>
                <w:kern w:val="0"/>
                <w:sz w:val="24"/>
                <w:szCs w:val="24"/>
                <w:lang w:eastAsia="zh-CN"/>
              </w:rPr>
              <w:t>外围散水有垃圾、杂物、积水积雪等</w:t>
            </w:r>
          </w:p>
        </w:tc>
        <w:tc>
          <w:tcPr>
            <w:tcW w:w="2115" w:type="dxa"/>
            <w:noWrap w:val="0"/>
            <w:vAlign w:val="center"/>
          </w:tcPr>
          <w:p w14:paraId="6C8C1357">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24B9AEEE">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C07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CB10B05">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44214C4F">
            <w:pPr>
              <w:pStyle w:val="269"/>
              <w:pageBreakBefore w:val="0"/>
              <w:kinsoku/>
              <w:wordWrap/>
              <w:overflowPunct/>
              <w:topLinePunct w:val="0"/>
              <w:bidi w:val="0"/>
              <w:spacing w:line="238" w:lineRule="exact"/>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25</w:t>
            </w:r>
          </w:p>
        </w:tc>
        <w:tc>
          <w:tcPr>
            <w:tcW w:w="5535" w:type="dxa"/>
            <w:noWrap w:val="0"/>
            <w:vAlign w:val="center"/>
          </w:tcPr>
          <w:p w14:paraId="72270FE6">
            <w:pPr>
              <w:pStyle w:val="269"/>
              <w:pageBreakBefore w:val="0"/>
              <w:kinsoku/>
              <w:wordWrap/>
              <w:overflowPunct/>
              <w:topLinePunct w:val="0"/>
              <w:bidi w:val="0"/>
              <w:spacing w:line="237" w:lineRule="exact"/>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4"/>
                <w:kern w:val="0"/>
                <w:sz w:val="24"/>
                <w:szCs w:val="24"/>
                <w:lang w:eastAsia="zh-CN"/>
              </w:rPr>
              <w:t>卫生间镜面、</w:t>
            </w:r>
            <w:r>
              <w:rPr>
                <w:rFonts w:hint="eastAsia" w:ascii="仿宋" w:hAnsi="仿宋" w:eastAsia="仿宋" w:cs="仿宋"/>
                <w:snapToGrid w:val="0"/>
                <w:color w:val="000000"/>
                <w:kern w:val="0"/>
                <w:sz w:val="24"/>
                <w:szCs w:val="24"/>
                <w:lang w:eastAsia="zh-CN"/>
              </w:rPr>
              <w:t>面盆</w:t>
            </w:r>
            <w:r>
              <w:rPr>
                <w:rFonts w:hint="eastAsia" w:ascii="仿宋" w:hAnsi="仿宋" w:eastAsia="仿宋" w:cs="仿宋"/>
                <w:snapToGrid w:val="0"/>
                <w:color w:val="000000"/>
                <w:spacing w:val="4"/>
                <w:kern w:val="0"/>
                <w:sz w:val="24"/>
                <w:szCs w:val="24"/>
                <w:lang w:eastAsia="zh-CN"/>
              </w:rPr>
              <w:t>有污渍</w:t>
            </w:r>
          </w:p>
        </w:tc>
        <w:tc>
          <w:tcPr>
            <w:tcW w:w="2115" w:type="dxa"/>
            <w:noWrap w:val="0"/>
            <w:vAlign w:val="center"/>
          </w:tcPr>
          <w:p w14:paraId="785941A2">
            <w:pPr>
              <w:pStyle w:val="269"/>
              <w:pageBreakBefore w:val="0"/>
              <w:kinsoku/>
              <w:wordWrap/>
              <w:overflowPunct/>
              <w:topLinePunct w:val="0"/>
              <w:bidi w:val="0"/>
              <w:spacing w:line="238" w:lineRule="exact"/>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6DAD62C8">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99F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8F6B776">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590FFA71">
            <w:pPr>
              <w:pStyle w:val="269"/>
              <w:pageBreakBefore w:val="0"/>
              <w:kinsoku/>
              <w:wordWrap/>
              <w:overflowPunct/>
              <w:topLinePunct w:val="0"/>
              <w:bidi w:val="0"/>
              <w:spacing w:line="237" w:lineRule="exact"/>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26</w:t>
            </w:r>
          </w:p>
        </w:tc>
        <w:tc>
          <w:tcPr>
            <w:tcW w:w="5535" w:type="dxa"/>
            <w:noWrap w:val="0"/>
            <w:vAlign w:val="center"/>
          </w:tcPr>
          <w:p w14:paraId="0B167A16">
            <w:pPr>
              <w:pStyle w:val="269"/>
              <w:pageBreakBefore w:val="0"/>
              <w:kinsoku/>
              <w:wordWrap/>
              <w:overflowPunct/>
              <w:topLinePunct w:val="0"/>
              <w:bidi w:val="0"/>
              <w:spacing w:line="237" w:lineRule="exact"/>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卫生间内</w:t>
            </w:r>
            <w:r>
              <w:rPr>
                <w:rFonts w:hint="eastAsia" w:ascii="仿宋" w:hAnsi="仿宋" w:eastAsia="仿宋" w:cs="仿宋"/>
                <w:snapToGrid w:val="0"/>
                <w:color w:val="000000"/>
                <w:spacing w:val="6"/>
                <w:kern w:val="0"/>
                <w:sz w:val="24"/>
                <w:szCs w:val="24"/>
                <w:lang w:eastAsia="zh-CN"/>
              </w:rPr>
              <w:t>有卫生死角、打扫不到位</w:t>
            </w:r>
          </w:p>
        </w:tc>
        <w:tc>
          <w:tcPr>
            <w:tcW w:w="2115" w:type="dxa"/>
            <w:noWrap w:val="0"/>
            <w:vAlign w:val="center"/>
          </w:tcPr>
          <w:p w14:paraId="5F3D6428">
            <w:pPr>
              <w:pStyle w:val="269"/>
              <w:pageBreakBefore w:val="0"/>
              <w:kinsoku/>
              <w:wordWrap/>
              <w:overflowPunct/>
              <w:topLinePunct w:val="0"/>
              <w:bidi w:val="0"/>
              <w:spacing w:line="237" w:lineRule="exact"/>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42A41E4D">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910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2698A36F">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30674AFF">
            <w:pPr>
              <w:pStyle w:val="269"/>
              <w:pageBreakBefore w:val="0"/>
              <w:kinsoku/>
              <w:wordWrap/>
              <w:overflowPunct/>
              <w:topLinePunct w:val="0"/>
              <w:bidi w:val="0"/>
              <w:spacing w:line="237" w:lineRule="exact"/>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27</w:t>
            </w:r>
          </w:p>
        </w:tc>
        <w:tc>
          <w:tcPr>
            <w:tcW w:w="5535" w:type="dxa"/>
            <w:noWrap w:val="0"/>
            <w:vAlign w:val="center"/>
          </w:tcPr>
          <w:p w14:paraId="258AF951">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洗消间内违规放置物品</w:t>
            </w:r>
          </w:p>
        </w:tc>
        <w:tc>
          <w:tcPr>
            <w:tcW w:w="2115" w:type="dxa"/>
            <w:noWrap w:val="0"/>
            <w:vAlign w:val="center"/>
          </w:tcPr>
          <w:p w14:paraId="2B579E3F">
            <w:pPr>
              <w:pStyle w:val="269"/>
              <w:pageBreakBefore w:val="0"/>
              <w:kinsoku/>
              <w:wordWrap/>
              <w:overflowPunct/>
              <w:topLinePunct w:val="0"/>
              <w:bidi w:val="0"/>
              <w:spacing w:line="237" w:lineRule="exact"/>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76B21A25">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DC4D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A43D79A">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72324C77">
            <w:pPr>
              <w:pStyle w:val="269"/>
              <w:pageBreakBefore w:val="0"/>
              <w:kinsoku/>
              <w:wordWrap/>
              <w:overflowPunct/>
              <w:topLinePunct w:val="0"/>
              <w:bidi w:val="0"/>
              <w:spacing w:line="157"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1"/>
                <w:kern w:val="0"/>
                <w:sz w:val="24"/>
                <w:szCs w:val="24"/>
                <w:lang w:eastAsia="zh-CN"/>
              </w:rPr>
              <w:t>28</w:t>
            </w:r>
          </w:p>
        </w:tc>
        <w:tc>
          <w:tcPr>
            <w:tcW w:w="5535" w:type="dxa"/>
            <w:noWrap w:val="0"/>
            <w:vAlign w:val="center"/>
          </w:tcPr>
          <w:p w14:paraId="763BBBDA">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违反洗消工作流程</w:t>
            </w:r>
          </w:p>
        </w:tc>
        <w:tc>
          <w:tcPr>
            <w:tcW w:w="2115" w:type="dxa"/>
            <w:noWrap w:val="0"/>
            <w:vAlign w:val="center"/>
          </w:tcPr>
          <w:p w14:paraId="69BE9620">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3575FA4C">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4D1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356120D">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7077738A">
            <w:pPr>
              <w:pStyle w:val="269"/>
              <w:pageBreakBefore w:val="0"/>
              <w:kinsoku/>
              <w:wordWrap/>
              <w:overflowPunct/>
              <w:topLinePunct w:val="0"/>
              <w:bidi w:val="0"/>
              <w:spacing w:line="157"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
                <w:kern w:val="0"/>
                <w:sz w:val="24"/>
                <w:szCs w:val="24"/>
                <w:lang w:eastAsia="zh-CN"/>
              </w:rPr>
              <w:t>29</w:t>
            </w:r>
          </w:p>
        </w:tc>
        <w:tc>
          <w:tcPr>
            <w:tcW w:w="5535" w:type="dxa"/>
            <w:noWrap w:val="0"/>
            <w:vAlign w:val="center"/>
          </w:tcPr>
          <w:p w14:paraId="72E766EC">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消毒后的餐具违规存放</w:t>
            </w:r>
          </w:p>
        </w:tc>
        <w:tc>
          <w:tcPr>
            <w:tcW w:w="2115" w:type="dxa"/>
            <w:noWrap w:val="0"/>
            <w:vAlign w:val="center"/>
          </w:tcPr>
          <w:p w14:paraId="006CB32D">
            <w:pPr>
              <w:pStyle w:val="269"/>
              <w:pageBreakBefore w:val="0"/>
              <w:kinsoku/>
              <w:wordWrap/>
              <w:overflowPunct/>
              <w:topLinePunct w:val="0"/>
              <w:bidi w:val="0"/>
              <w:spacing w:line="15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4"/>
                <w:kern w:val="0"/>
                <w:sz w:val="24"/>
                <w:szCs w:val="24"/>
              </w:rPr>
              <w:t>每次每处扣1分</w:t>
            </w:r>
          </w:p>
        </w:tc>
        <w:tc>
          <w:tcPr>
            <w:tcW w:w="566" w:type="dxa"/>
            <w:noWrap w:val="0"/>
            <w:vAlign w:val="center"/>
          </w:tcPr>
          <w:p w14:paraId="17A5538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02C4A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noWrap w:val="0"/>
            <w:vAlign w:val="center"/>
          </w:tcPr>
          <w:p w14:paraId="66D7902F">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lang w:eastAsia="zh-CN"/>
              </w:rPr>
            </w:pPr>
            <w:r>
              <w:rPr>
                <w:rFonts w:hint="eastAsia" w:ascii="仿宋" w:hAnsi="仿宋" w:eastAsia="仿宋" w:cs="仿宋"/>
                <w:b w:val="0"/>
                <w:bCs w:val="0"/>
                <w:snapToGrid w:val="0"/>
                <w:color w:val="000000"/>
                <w:spacing w:val="-1"/>
                <w:kern w:val="0"/>
                <w:sz w:val="24"/>
                <w:szCs w:val="24"/>
                <w:lang w:eastAsia="zh-CN"/>
              </w:rPr>
              <w:t>投诉</w:t>
            </w:r>
          </w:p>
        </w:tc>
        <w:tc>
          <w:tcPr>
            <w:tcW w:w="770" w:type="dxa"/>
            <w:noWrap w:val="0"/>
            <w:vAlign w:val="center"/>
          </w:tcPr>
          <w:p w14:paraId="594031FF">
            <w:pPr>
              <w:pStyle w:val="269"/>
              <w:pageBreakBefore w:val="0"/>
              <w:kinsoku/>
              <w:wordWrap/>
              <w:overflowPunct/>
              <w:topLinePunct w:val="0"/>
              <w:bidi w:val="0"/>
              <w:spacing w:line="174" w:lineRule="auto"/>
              <w:ind w:left="0" w:leftChars="0" w:right="0"/>
              <w:jc w:val="center"/>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4"/>
                <w:kern w:val="0"/>
                <w:sz w:val="24"/>
                <w:szCs w:val="24"/>
                <w:lang w:eastAsia="zh-CN"/>
              </w:rPr>
              <w:t>30</w:t>
            </w:r>
          </w:p>
        </w:tc>
        <w:tc>
          <w:tcPr>
            <w:tcW w:w="5535" w:type="dxa"/>
            <w:noWrap w:val="0"/>
            <w:vAlign w:val="center"/>
          </w:tcPr>
          <w:p w14:paraId="488DA52A">
            <w:pPr>
              <w:pStyle w:val="269"/>
              <w:pageBreakBefore w:val="0"/>
              <w:kinsoku/>
              <w:wordWrap/>
              <w:overflowPunct/>
              <w:topLinePunct w:val="0"/>
              <w:bidi w:val="0"/>
              <w:spacing w:line="195"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师生有效投诉且不能如期整改或整改效果不明显的</w:t>
            </w:r>
          </w:p>
        </w:tc>
        <w:tc>
          <w:tcPr>
            <w:tcW w:w="2115" w:type="dxa"/>
            <w:noWrap w:val="0"/>
            <w:vAlign w:val="center"/>
          </w:tcPr>
          <w:p w14:paraId="75279930">
            <w:pPr>
              <w:pStyle w:val="269"/>
              <w:pageBreakBefore w:val="0"/>
              <w:kinsoku/>
              <w:wordWrap/>
              <w:overflowPunct/>
              <w:topLinePunct w:val="0"/>
              <w:bidi w:val="0"/>
              <w:spacing w:line="176"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2629336C">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797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293A774">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1F8C8396">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lang w:eastAsia="zh-CN"/>
              </w:rPr>
              <w:t>3</w:t>
            </w:r>
            <w:r>
              <w:rPr>
                <w:rFonts w:hint="eastAsia" w:ascii="仿宋" w:hAnsi="仿宋" w:eastAsia="仿宋" w:cs="仿宋"/>
                <w:snapToGrid w:val="0"/>
                <w:color w:val="000000"/>
                <w:spacing w:val="-1"/>
                <w:kern w:val="0"/>
                <w:sz w:val="24"/>
                <w:szCs w:val="24"/>
              </w:rPr>
              <w:t>1</w:t>
            </w:r>
          </w:p>
        </w:tc>
        <w:tc>
          <w:tcPr>
            <w:tcW w:w="5535" w:type="dxa"/>
            <w:noWrap w:val="0"/>
            <w:vAlign w:val="center"/>
          </w:tcPr>
          <w:p w14:paraId="7E8119C3">
            <w:pPr>
              <w:pStyle w:val="269"/>
              <w:pageBreakBefore w:val="0"/>
              <w:kinsoku/>
              <w:wordWrap/>
              <w:overflowPunct/>
              <w:topLinePunct w:val="0"/>
              <w:bidi w:val="0"/>
              <w:spacing w:line="199" w:lineRule="auto"/>
              <w:ind w:left="0" w:leftChars="0" w:right="0" w:firstLine="1"/>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12"/>
                <w:kern w:val="0"/>
                <w:sz w:val="24"/>
                <w:szCs w:val="24"/>
                <w:lang w:eastAsia="zh-CN"/>
              </w:rPr>
              <w:t>因服务质量问题受到会议批评或文字</w:t>
            </w:r>
            <w:r>
              <w:rPr>
                <w:rFonts w:hint="eastAsia" w:ascii="仿宋" w:hAnsi="仿宋" w:eastAsia="仿宋" w:cs="仿宋"/>
                <w:snapToGrid w:val="0"/>
                <w:color w:val="000000"/>
                <w:spacing w:val="6"/>
                <w:kern w:val="0"/>
                <w:sz w:val="24"/>
                <w:szCs w:val="24"/>
                <w:lang w:eastAsia="zh-CN"/>
              </w:rPr>
              <w:t>通报批评的</w:t>
            </w:r>
          </w:p>
        </w:tc>
        <w:tc>
          <w:tcPr>
            <w:tcW w:w="2115" w:type="dxa"/>
            <w:noWrap w:val="0"/>
            <w:vAlign w:val="center"/>
          </w:tcPr>
          <w:p w14:paraId="03902145">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185FAE2C">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466F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283706BF">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23388A02">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32</w:t>
            </w:r>
          </w:p>
        </w:tc>
        <w:tc>
          <w:tcPr>
            <w:tcW w:w="5535" w:type="dxa"/>
            <w:noWrap w:val="0"/>
            <w:vAlign w:val="center"/>
          </w:tcPr>
          <w:p w14:paraId="7135B106">
            <w:pPr>
              <w:pStyle w:val="269"/>
              <w:pageBreakBefore w:val="0"/>
              <w:kinsoku/>
              <w:wordWrap/>
              <w:overflowPunct/>
              <w:topLinePunct w:val="0"/>
              <w:bidi w:val="0"/>
              <w:spacing w:line="185"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一天内对同一问题不改正</w:t>
            </w:r>
          </w:p>
        </w:tc>
        <w:tc>
          <w:tcPr>
            <w:tcW w:w="2115" w:type="dxa"/>
            <w:noWrap w:val="0"/>
            <w:vAlign w:val="center"/>
          </w:tcPr>
          <w:p w14:paraId="7F87D858">
            <w:pPr>
              <w:pStyle w:val="269"/>
              <w:pageBreakBefore w:val="0"/>
              <w:kinsoku/>
              <w:wordWrap/>
              <w:overflowPunct/>
              <w:topLinePunct w:val="0"/>
              <w:bidi w:val="0"/>
              <w:spacing w:line="177"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424D309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D159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9A846ED">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658414C1">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33</w:t>
            </w:r>
          </w:p>
        </w:tc>
        <w:tc>
          <w:tcPr>
            <w:tcW w:w="5535" w:type="dxa"/>
            <w:noWrap w:val="0"/>
            <w:vAlign w:val="center"/>
          </w:tcPr>
          <w:p w14:paraId="04C6C71E">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不服从管理造成不良后果的</w:t>
            </w:r>
          </w:p>
        </w:tc>
        <w:tc>
          <w:tcPr>
            <w:tcW w:w="2115" w:type="dxa"/>
            <w:noWrap w:val="0"/>
            <w:vAlign w:val="center"/>
          </w:tcPr>
          <w:p w14:paraId="0BF1A43B">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724B7061">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293C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0D5481C7">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18D55565">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34</w:t>
            </w:r>
          </w:p>
        </w:tc>
        <w:tc>
          <w:tcPr>
            <w:tcW w:w="5535" w:type="dxa"/>
            <w:noWrap w:val="0"/>
            <w:vAlign w:val="center"/>
          </w:tcPr>
          <w:p w14:paraId="173EB56B">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服务满意度低于85％的</w:t>
            </w:r>
          </w:p>
        </w:tc>
        <w:tc>
          <w:tcPr>
            <w:tcW w:w="2115" w:type="dxa"/>
            <w:noWrap w:val="0"/>
            <w:vAlign w:val="center"/>
          </w:tcPr>
          <w:p w14:paraId="591F284D">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20545E36">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332F6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4097B9DE">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78F5F08B">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35</w:t>
            </w:r>
          </w:p>
        </w:tc>
        <w:tc>
          <w:tcPr>
            <w:tcW w:w="5535" w:type="dxa"/>
            <w:noWrap w:val="0"/>
            <w:vAlign w:val="center"/>
          </w:tcPr>
          <w:p w14:paraId="0E89AC4D">
            <w:pPr>
              <w:pStyle w:val="269"/>
              <w:pageBreakBefore w:val="0"/>
              <w:kinsoku/>
              <w:wordWrap/>
              <w:overflowPunct/>
              <w:topLinePunct w:val="0"/>
              <w:bidi w:val="0"/>
              <w:spacing w:line="192"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7"/>
                <w:kern w:val="0"/>
                <w:sz w:val="24"/>
                <w:szCs w:val="24"/>
                <w:lang w:eastAsia="zh-CN"/>
              </w:rPr>
              <w:t>履行合同不到位，使学校或监管部门的利益受损的</w:t>
            </w:r>
          </w:p>
        </w:tc>
        <w:tc>
          <w:tcPr>
            <w:tcW w:w="2115" w:type="dxa"/>
            <w:noWrap w:val="0"/>
            <w:vAlign w:val="center"/>
          </w:tcPr>
          <w:p w14:paraId="4953C7BA">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发现一次扣2分</w:t>
            </w:r>
          </w:p>
        </w:tc>
        <w:tc>
          <w:tcPr>
            <w:tcW w:w="566" w:type="dxa"/>
            <w:noWrap w:val="0"/>
            <w:vAlign w:val="center"/>
          </w:tcPr>
          <w:p w14:paraId="6170FC03">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1CFF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18B5C04E">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2E2456DF">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36</w:t>
            </w:r>
          </w:p>
        </w:tc>
        <w:tc>
          <w:tcPr>
            <w:tcW w:w="5535" w:type="dxa"/>
            <w:noWrap w:val="0"/>
            <w:vAlign w:val="center"/>
          </w:tcPr>
          <w:p w14:paraId="5F369445">
            <w:pPr>
              <w:pStyle w:val="269"/>
              <w:pageBreakBefore w:val="0"/>
              <w:kinsoku/>
              <w:wordWrap/>
              <w:overflowPunct/>
              <w:topLinePunct w:val="0"/>
              <w:bidi w:val="0"/>
              <w:spacing w:line="199"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9"/>
                <w:kern w:val="0"/>
                <w:sz w:val="24"/>
                <w:szCs w:val="24"/>
                <w:lang w:eastAsia="zh-CN"/>
              </w:rPr>
              <w:t>其他不符合服务标准和工作规范的事项</w:t>
            </w:r>
          </w:p>
        </w:tc>
        <w:tc>
          <w:tcPr>
            <w:tcW w:w="2115" w:type="dxa"/>
            <w:noWrap w:val="0"/>
            <w:vAlign w:val="center"/>
          </w:tcPr>
          <w:p w14:paraId="074D059B">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1"/>
                <w:kern w:val="0"/>
                <w:sz w:val="24"/>
                <w:szCs w:val="24"/>
              </w:rPr>
              <w:t>酌情扣除1至5分</w:t>
            </w:r>
          </w:p>
        </w:tc>
        <w:tc>
          <w:tcPr>
            <w:tcW w:w="566" w:type="dxa"/>
            <w:noWrap w:val="0"/>
            <w:vAlign w:val="center"/>
          </w:tcPr>
          <w:p w14:paraId="40A8904E">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4052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noWrap w:val="0"/>
            <w:vAlign w:val="center"/>
          </w:tcPr>
          <w:p w14:paraId="094D631A">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lang w:eastAsia="zh-CN"/>
              </w:rPr>
            </w:pPr>
            <w:r>
              <w:rPr>
                <w:rFonts w:hint="eastAsia" w:ascii="仿宋" w:hAnsi="仿宋" w:eastAsia="仿宋" w:cs="仿宋"/>
                <w:b w:val="0"/>
                <w:bCs w:val="0"/>
                <w:snapToGrid w:val="0"/>
                <w:color w:val="000000"/>
                <w:spacing w:val="-1"/>
                <w:kern w:val="0"/>
                <w:sz w:val="24"/>
                <w:szCs w:val="24"/>
                <w:lang w:eastAsia="zh-CN"/>
              </w:rPr>
              <w:t>其他</w:t>
            </w:r>
          </w:p>
        </w:tc>
        <w:tc>
          <w:tcPr>
            <w:tcW w:w="770" w:type="dxa"/>
            <w:noWrap w:val="0"/>
            <w:vAlign w:val="center"/>
          </w:tcPr>
          <w:p w14:paraId="46AFE33B">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37</w:t>
            </w:r>
          </w:p>
        </w:tc>
        <w:tc>
          <w:tcPr>
            <w:tcW w:w="5535" w:type="dxa"/>
            <w:noWrap w:val="0"/>
            <w:vAlign w:val="center"/>
          </w:tcPr>
          <w:p w14:paraId="4F89773D">
            <w:pPr>
              <w:pStyle w:val="269"/>
              <w:pageBreakBefore w:val="0"/>
              <w:kinsoku/>
              <w:wordWrap/>
              <w:overflowPunct/>
              <w:topLinePunct w:val="0"/>
              <w:bidi w:val="0"/>
              <w:spacing w:line="175"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2"/>
                <w:kern w:val="0"/>
                <w:sz w:val="24"/>
                <w:szCs w:val="24"/>
                <w:lang w:eastAsia="zh-CN"/>
              </w:rPr>
              <w:t>同一时间单个食堂未收拾餐桌超过10个</w:t>
            </w:r>
          </w:p>
        </w:tc>
        <w:tc>
          <w:tcPr>
            <w:tcW w:w="2115" w:type="dxa"/>
            <w:noWrap w:val="0"/>
            <w:vAlign w:val="center"/>
          </w:tcPr>
          <w:p w14:paraId="7453E03E">
            <w:pPr>
              <w:pStyle w:val="269"/>
              <w:pageBreakBefore w:val="0"/>
              <w:kinsoku/>
              <w:wordWrap/>
              <w:overflowPunct/>
              <w:topLinePunct w:val="0"/>
              <w:bidi w:val="0"/>
              <w:spacing w:line="175"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2"/>
                <w:kern w:val="0"/>
                <w:sz w:val="24"/>
                <w:szCs w:val="24"/>
              </w:rPr>
              <w:t>每次扣1-5分</w:t>
            </w:r>
          </w:p>
        </w:tc>
        <w:tc>
          <w:tcPr>
            <w:tcW w:w="566" w:type="dxa"/>
            <w:noWrap w:val="0"/>
            <w:vAlign w:val="center"/>
          </w:tcPr>
          <w:p w14:paraId="316AF235">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1799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50FC9C0B">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56738383">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38</w:t>
            </w:r>
          </w:p>
        </w:tc>
        <w:tc>
          <w:tcPr>
            <w:tcW w:w="5535" w:type="dxa"/>
            <w:noWrap w:val="0"/>
            <w:vAlign w:val="center"/>
          </w:tcPr>
          <w:p w14:paraId="7C74D515">
            <w:pPr>
              <w:pStyle w:val="269"/>
              <w:pageBreakBefore w:val="0"/>
              <w:kinsoku/>
              <w:wordWrap/>
              <w:overflowPunct/>
              <w:topLinePunct w:val="0"/>
              <w:bidi w:val="0"/>
              <w:spacing w:line="174"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8"/>
                <w:kern w:val="0"/>
                <w:sz w:val="24"/>
                <w:szCs w:val="24"/>
                <w:lang w:eastAsia="zh-CN"/>
              </w:rPr>
              <w:t>在上级领导巡查期间被批评</w:t>
            </w:r>
          </w:p>
        </w:tc>
        <w:tc>
          <w:tcPr>
            <w:tcW w:w="2115" w:type="dxa"/>
            <w:noWrap w:val="0"/>
            <w:vAlign w:val="center"/>
          </w:tcPr>
          <w:p w14:paraId="49D0DB30">
            <w:pPr>
              <w:pStyle w:val="269"/>
              <w:pageBreakBefore w:val="0"/>
              <w:kinsoku/>
              <w:wordWrap/>
              <w:overflowPunct/>
              <w:topLinePunct w:val="0"/>
              <w:bidi w:val="0"/>
              <w:spacing w:line="174"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8"/>
                <w:kern w:val="0"/>
                <w:sz w:val="24"/>
                <w:szCs w:val="24"/>
              </w:rPr>
              <w:t>每次扣5分</w:t>
            </w:r>
          </w:p>
        </w:tc>
        <w:tc>
          <w:tcPr>
            <w:tcW w:w="566" w:type="dxa"/>
            <w:noWrap w:val="0"/>
            <w:vAlign w:val="center"/>
          </w:tcPr>
          <w:p w14:paraId="27598F48">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6550B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noWrap w:val="0"/>
            <w:vAlign w:val="center"/>
          </w:tcPr>
          <w:p w14:paraId="6C895493">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rPr>
            </w:pPr>
          </w:p>
        </w:tc>
        <w:tc>
          <w:tcPr>
            <w:tcW w:w="770" w:type="dxa"/>
            <w:noWrap w:val="0"/>
            <w:vAlign w:val="center"/>
          </w:tcPr>
          <w:p w14:paraId="6A7F70AB">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r>
              <w:rPr>
                <w:rFonts w:hint="eastAsia" w:ascii="仿宋" w:hAnsi="仿宋" w:eastAsia="仿宋" w:cs="仿宋"/>
                <w:snapToGrid w:val="0"/>
                <w:color w:val="000000"/>
                <w:spacing w:val="-1"/>
                <w:kern w:val="0"/>
                <w:sz w:val="24"/>
                <w:szCs w:val="24"/>
                <w:lang w:eastAsia="zh-CN"/>
              </w:rPr>
              <w:t>39</w:t>
            </w:r>
          </w:p>
        </w:tc>
        <w:tc>
          <w:tcPr>
            <w:tcW w:w="5535" w:type="dxa"/>
            <w:noWrap w:val="0"/>
            <w:vAlign w:val="center"/>
          </w:tcPr>
          <w:p w14:paraId="075F8A28">
            <w:pPr>
              <w:pStyle w:val="269"/>
              <w:pageBreakBefore w:val="0"/>
              <w:kinsoku/>
              <w:wordWrap/>
              <w:overflowPunct/>
              <w:topLinePunct w:val="0"/>
              <w:bidi w:val="0"/>
              <w:spacing w:line="173" w:lineRule="auto"/>
              <w:ind w:left="0" w:leftChars="0" w:right="0"/>
              <w:jc w:val="both"/>
              <w:rPr>
                <w:rFonts w:hint="eastAsia" w:ascii="仿宋" w:hAnsi="仿宋" w:eastAsia="仿宋" w:cs="仿宋"/>
                <w:snapToGrid w:val="0"/>
                <w:color w:val="000000"/>
                <w:kern w:val="0"/>
                <w:sz w:val="24"/>
                <w:szCs w:val="24"/>
                <w:lang w:eastAsia="zh-CN"/>
              </w:rPr>
            </w:pPr>
            <w:r>
              <w:rPr>
                <w:rFonts w:hint="eastAsia" w:ascii="仿宋" w:hAnsi="仿宋" w:eastAsia="仿宋" w:cs="仿宋"/>
                <w:snapToGrid w:val="0"/>
                <w:color w:val="000000"/>
                <w:spacing w:val="9"/>
                <w:kern w:val="0"/>
                <w:sz w:val="24"/>
                <w:szCs w:val="24"/>
                <w:lang w:eastAsia="zh-CN"/>
              </w:rPr>
              <w:t>未按规定进行洗消造成不良后果</w:t>
            </w:r>
          </w:p>
        </w:tc>
        <w:tc>
          <w:tcPr>
            <w:tcW w:w="2115" w:type="dxa"/>
            <w:noWrap w:val="0"/>
            <w:vAlign w:val="center"/>
          </w:tcPr>
          <w:p w14:paraId="4453C99B">
            <w:pPr>
              <w:pStyle w:val="269"/>
              <w:pageBreakBefore w:val="0"/>
              <w:kinsoku/>
              <w:wordWrap/>
              <w:overflowPunct/>
              <w:topLinePunct w:val="0"/>
              <w:bidi w:val="0"/>
              <w:spacing w:line="173" w:lineRule="auto"/>
              <w:ind w:left="0" w:leftChars="0" w:right="0"/>
              <w:jc w:val="both"/>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spacing w:val="-3"/>
                <w:kern w:val="0"/>
                <w:sz w:val="24"/>
                <w:szCs w:val="24"/>
              </w:rPr>
              <w:t>每次扣5-10分</w:t>
            </w:r>
          </w:p>
        </w:tc>
        <w:tc>
          <w:tcPr>
            <w:tcW w:w="566" w:type="dxa"/>
            <w:noWrap w:val="0"/>
            <w:vAlign w:val="center"/>
          </w:tcPr>
          <w:p w14:paraId="61FB2994">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r w14:paraId="4BA3A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noWrap w:val="0"/>
            <w:vAlign w:val="center"/>
          </w:tcPr>
          <w:p w14:paraId="5808BB2B">
            <w:pPr>
              <w:pStyle w:val="269"/>
              <w:pageBreakBefore w:val="0"/>
              <w:kinsoku/>
              <w:wordWrap/>
              <w:overflowPunct/>
              <w:topLinePunct w:val="0"/>
              <w:bidi w:val="0"/>
              <w:spacing w:line="176" w:lineRule="auto"/>
              <w:ind w:left="0" w:leftChars="0" w:right="0"/>
              <w:jc w:val="center"/>
              <w:rPr>
                <w:rFonts w:hint="eastAsia" w:ascii="仿宋" w:hAnsi="仿宋" w:eastAsia="仿宋" w:cs="仿宋"/>
                <w:b w:val="0"/>
                <w:bCs w:val="0"/>
                <w:snapToGrid w:val="0"/>
                <w:color w:val="000000"/>
                <w:spacing w:val="-1"/>
                <w:kern w:val="0"/>
                <w:sz w:val="24"/>
                <w:szCs w:val="24"/>
                <w:lang w:eastAsia="zh-CN"/>
              </w:rPr>
            </w:pPr>
            <w:r>
              <w:rPr>
                <w:rFonts w:hint="eastAsia" w:ascii="仿宋" w:hAnsi="仿宋" w:eastAsia="仿宋" w:cs="仿宋"/>
                <w:b w:val="0"/>
                <w:bCs w:val="0"/>
                <w:snapToGrid w:val="0"/>
                <w:color w:val="000000"/>
                <w:spacing w:val="-1"/>
                <w:kern w:val="0"/>
                <w:sz w:val="24"/>
                <w:szCs w:val="24"/>
                <w:lang w:eastAsia="zh-CN"/>
              </w:rPr>
              <w:t>合计</w:t>
            </w:r>
          </w:p>
        </w:tc>
        <w:tc>
          <w:tcPr>
            <w:tcW w:w="770" w:type="dxa"/>
            <w:noWrap w:val="0"/>
            <w:vAlign w:val="center"/>
          </w:tcPr>
          <w:p w14:paraId="2D8D38A1">
            <w:pPr>
              <w:pStyle w:val="269"/>
              <w:pageBreakBefore w:val="0"/>
              <w:kinsoku/>
              <w:wordWrap/>
              <w:overflowPunct/>
              <w:topLinePunct w:val="0"/>
              <w:bidi w:val="0"/>
              <w:spacing w:line="212" w:lineRule="auto"/>
              <w:ind w:left="0" w:leftChars="0" w:right="0"/>
              <w:jc w:val="center"/>
              <w:rPr>
                <w:rFonts w:hint="eastAsia" w:ascii="仿宋" w:hAnsi="仿宋" w:eastAsia="仿宋" w:cs="仿宋"/>
                <w:snapToGrid w:val="0"/>
                <w:color w:val="000000"/>
                <w:spacing w:val="-1"/>
                <w:kern w:val="0"/>
                <w:sz w:val="24"/>
                <w:szCs w:val="24"/>
                <w:lang w:eastAsia="zh-CN"/>
              </w:rPr>
            </w:pPr>
          </w:p>
        </w:tc>
        <w:tc>
          <w:tcPr>
            <w:tcW w:w="5535" w:type="dxa"/>
            <w:noWrap w:val="0"/>
            <w:vAlign w:val="center"/>
          </w:tcPr>
          <w:p w14:paraId="074B22B3">
            <w:pPr>
              <w:pStyle w:val="269"/>
              <w:pageBreakBefore w:val="0"/>
              <w:kinsoku/>
              <w:wordWrap/>
              <w:overflowPunct/>
              <w:topLinePunct w:val="0"/>
              <w:bidi w:val="0"/>
              <w:spacing w:line="199" w:lineRule="auto"/>
              <w:ind w:left="0" w:leftChars="0" w:right="0" w:firstLine="1"/>
              <w:jc w:val="both"/>
              <w:rPr>
                <w:rFonts w:hint="eastAsia" w:ascii="仿宋" w:hAnsi="仿宋" w:eastAsia="仿宋" w:cs="仿宋"/>
                <w:snapToGrid w:val="0"/>
                <w:color w:val="000000"/>
                <w:spacing w:val="12"/>
                <w:kern w:val="0"/>
                <w:sz w:val="24"/>
                <w:szCs w:val="24"/>
              </w:rPr>
            </w:pPr>
          </w:p>
        </w:tc>
        <w:tc>
          <w:tcPr>
            <w:tcW w:w="2115" w:type="dxa"/>
            <w:noWrap w:val="0"/>
            <w:vAlign w:val="center"/>
          </w:tcPr>
          <w:p w14:paraId="59039F3D">
            <w:pPr>
              <w:pStyle w:val="269"/>
              <w:pageBreakBefore w:val="0"/>
              <w:kinsoku/>
              <w:wordWrap/>
              <w:overflowPunct/>
              <w:topLinePunct w:val="0"/>
              <w:bidi w:val="0"/>
              <w:spacing w:line="200" w:lineRule="auto"/>
              <w:ind w:left="0" w:leftChars="0" w:right="0"/>
              <w:jc w:val="both"/>
              <w:rPr>
                <w:rFonts w:hint="eastAsia" w:ascii="仿宋" w:hAnsi="仿宋" w:eastAsia="仿宋" w:cs="仿宋"/>
                <w:snapToGrid w:val="0"/>
                <w:color w:val="000000"/>
                <w:spacing w:val="8"/>
                <w:kern w:val="0"/>
                <w:sz w:val="24"/>
                <w:szCs w:val="24"/>
              </w:rPr>
            </w:pPr>
          </w:p>
        </w:tc>
        <w:tc>
          <w:tcPr>
            <w:tcW w:w="566" w:type="dxa"/>
            <w:noWrap w:val="0"/>
            <w:vAlign w:val="center"/>
          </w:tcPr>
          <w:p w14:paraId="51F446F3">
            <w:pPr>
              <w:pageBreakBefore w:val="0"/>
              <w:kinsoku/>
              <w:wordWrap/>
              <w:overflowPunct/>
              <w:topLinePunct w:val="0"/>
              <w:bidi w:val="0"/>
              <w:ind w:left="0" w:leftChars="0" w:right="0"/>
              <w:jc w:val="both"/>
              <w:rPr>
                <w:rFonts w:hint="eastAsia" w:ascii="仿宋" w:hAnsi="仿宋" w:eastAsia="仿宋" w:cs="仿宋"/>
                <w:snapToGrid w:val="0"/>
                <w:color w:val="000000"/>
                <w:kern w:val="0"/>
                <w:sz w:val="24"/>
                <w:szCs w:val="24"/>
                <w:lang w:eastAsia="en-US"/>
              </w:rPr>
            </w:pPr>
          </w:p>
        </w:tc>
      </w:tr>
    </w:tbl>
    <w:p w14:paraId="5652C3CC">
      <w:pPr>
        <w:pageBreakBefore w:val="0"/>
        <w:kinsoku/>
        <w:wordWrap/>
        <w:overflowPunct/>
        <w:topLinePunct w:val="0"/>
        <w:bidi w:val="0"/>
        <w:spacing w:line="91" w:lineRule="exact"/>
        <w:ind w:left="0" w:leftChars="0" w:right="0"/>
        <w:jc w:val="both"/>
        <w:rPr>
          <w:rFonts w:hint="eastAsia" w:ascii="仿宋" w:hAnsi="仿宋" w:eastAsia="仿宋" w:cs="仿宋"/>
          <w:sz w:val="28"/>
          <w:szCs w:val="28"/>
        </w:rPr>
      </w:pPr>
    </w:p>
    <w:p w14:paraId="4E43D827">
      <w:pPr>
        <w:pStyle w:val="4"/>
        <w:pageBreakBefore w:val="0"/>
        <w:kinsoku/>
        <w:wordWrap/>
        <w:overflowPunct/>
        <w:topLinePunct w:val="0"/>
        <w:bidi w:val="0"/>
        <w:spacing w:before="0" w:line="192" w:lineRule="auto"/>
        <w:ind w:left="0" w:leftChars="0" w:right="0"/>
        <w:jc w:val="both"/>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备注：考核总分为100分，减去扣分后为最终得分。</w:t>
      </w:r>
    </w:p>
    <w:p w14:paraId="6B8B4C0D">
      <w:pPr>
        <w:pageBreakBefore w:val="0"/>
        <w:kinsoku/>
        <w:wordWrap/>
        <w:overflowPunct/>
        <w:topLinePunct w:val="0"/>
        <w:bidi w:val="0"/>
        <w:ind w:left="0" w:leftChars="0" w:right="0"/>
        <w:jc w:val="both"/>
        <w:rPr>
          <w:rFonts w:hint="eastAsia" w:ascii="仿宋" w:hAnsi="仿宋" w:eastAsia="仿宋" w:cs="仿宋"/>
          <w:b/>
          <w:bCs/>
          <w:spacing w:val="-3"/>
          <w:sz w:val="28"/>
          <w:szCs w:val="28"/>
          <w:lang w:val="en-US" w:eastAsia="zh-CN"/>
        </w:rPr>
      </w:pPr>
    </w:p>
    <w:p w14:paraId="3B5967EA">
      <w:pPr>
        <w:pStyle w:val="4"/>
        <w:pageBreakBefore w:val="0"/>
        <w:kinsoku/>
        <w:wordWrap/>
        <w:overflowPunct/>
        <w:topLinePunct w:val="0"/>
        <w:bidi w:val="0"/>
        <w:spacing w:before="0" w:line="194" w:lineRule="auto"/>
        <w:ind w:left="0" w:leftChars="0" w:right="0" w:hanging="3" w:firstLineChars="0"/>
        <w:jc w:val="center"/>
        <w:outlineLvl w:val="2"/>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br w:type="page"/>
      </w:r>
      <w:r>
        <w:rPr>
          <w:rFonts w:hint="eastAsia" w:ascii="仿宋" w:hAnsi="仿宋" w:eastAsia="仿宋" w:cs="仿宋"/>
          <w:b/>
          <w:bCs/>
          <w:spacing w:val="-3"/>
          <w:sz w:val="28"/>
          <w:szCs w:val="28"/>
          <w:lang w:val="en-US" w:eastAsia="zh-CN"/>
        </w:rPr>
        <w:t>（三）秩序</w:t>
      </w:r>
      <w:r>
        <w:rPr>
          <w:rFonts w:hint="eastAsia" w:ascii="仿宋" w:hAnsi="仿宋" w:eastAsia="仿宋" w:cs="仿宋"/>
          <w:b/>
          <w:bCs/>
          <w:spacing w:val="-3"/>
          <w:sz w:val="28"/>
          <w:szCs w:val="28"/>
        </w:rPr>
        <w:t>服务</w:t>
      </w:r>
      <w:r>
        <w:rPr>
          <w:rFonts w:hint="eastAsia" w:ascii="仿宋" w:hAnsi="仿宋" w:eastAsia="仿宋" w:cs="仿宋"/>
          <w:b/>
          <w:bCs/>
          <w:spacing w:val="-3"/>
          <w:sz w:val="28"/>
          <w:szCs w:val="28"/>
          <w:lang w:val="en-US" w:eastAsia="zh-CN"/>
        </w:rPr>
        <w:t>考评细则</w:t>
      </w: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70"/>
        <w:gridCol w:w="4900"/>
        <w:gridCol w:w="2778"/>
        <w:gridCol w:w="538"/>
      </w:tblGrid>
      <w:tr w14:paraId="3FB8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noWrap w:val="0"/>
            <w:vAlign w:val="center"/>
          </w:tcPr>
          <w:p w14:paraId="7970E67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项目</w:t>
            </w:r>
          </w:p>
        </w:tc>
        <w:tc>
          <w:tcPr>
            <w:tcW w:w="770" w:type="dxa"/>
            <w:noWrap w:val="0"/>
            <w:vAlign w:val="center"/>
          </w:tcPr>
          <w:p w14:paraId="2FADA2B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序号</w:t>
            </w:r>
          </w:p>
        </w:tc>
        <w:tc>
          <w:tcPr>
            <w:tcW w:w="4900" w:type="dxa"/>
            <w:noWrap w:val="0"/>
            <w:vAlign w:val="center"/>
          </w:tcPr>
          <w:p w14:paraId="452798B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考核内容</w:t>
            </w:r>
          </w:p>
        </w:tc>
        <w:tc>
          <w:tcPr>
            <w:tcW w:w="2778" w:type="dxa"/>
            <w:noWrap w:val="0"/>
            <w:vAlign w:val="center"/>
          </w:tcPr>
          <w:p w14:paraId="7BB44DC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扣除分值</w:t>
            </w:r>
          </w:p>
        </w:tc>
        <w:tc>
          <w:tcPr>
            <w:tcW w:w="538" w:type="dxa"/>
            <w:noWrap w:val="0"/>
            <w:vAlign w:val="center"/>
          </w:tcPr>
          <w:p w14:paraId="7BA3783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扣分</w:t>
            </w:r>
          </w:p>
        </w:tc>
      </w:tr>
      <w:tr w14:paraId="0334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tcBorders>
              <w:bottom w:val="single" w:color="000000" w:sz="2" w:space="0"/>
            </w:tcBorders>
            <w:noWrap w:val="0"/>
            <w:vAlign w:val="center"/>
          </w:tcPr>
          <w:p w14:paraId="3265A51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行为规范</w:t>
            </w:r>
          </w:p>
        </w:tc>
        <w:tc>
          <w:tcPr>
            <w:tcW w:w="770" w:type="dxa"/>
            <w:noWrap w:val="0"/>
            <w:vAlign w:val="center"/>
          </w:tcPr>
          <w:p w14:paraId="1C6B120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1</w:t>
            </w:r>
          </w:p>
        </w:tc>
        <w:tc>
          <w:tcPr>
            <w:tcW w:w="4900" w:type="dxa"/>
            <w:noWrap w:val="0"/>
            <w:vAlign w:val="center"/>
          </w:tcPr>
          <w:p w14:paraId="1F55C7E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工作时间</w:t>
            </w:r>
            <w:r>
              <w:rPr>
                <w:rFonts w:hint="eastAsia" w:ascii="仿宋" w:hAnsi="仿宋" w:eastAsia="仿宋" w:cs="仿宋"/>
                <w:snapToGrid w:val="0"/>
                <w:color w:val="000000"/>
                <w:spacing w:val="9"/>
                <w:kern w:val="0"/>
                <w:sz w:val="24"/>
                <w:szCs w:val="24"/>
                <w:lang w:eastAsia="zh-CN"/>
              </w:rPr>
              <w:t>按规定统一着装，</w:t>
            </w:r>
            <w:r>
              <w:rPr>
                <w:rFonts w:hint="eastAsia" w:ascii="仿宋" w:hAnsi="仿宋" w:eastAsia="仿宋" w:cs="仿宋"/>
                <w:snapToGrid w:val="0"/>
                <w:color w:val="000000"/>
                <w:spacing w:val="9"/>
                <w:kern w:val="0"/>
                <w:sz w:val="24"/>
                <w:szCs w:val="24"/>
                <w:lang w:val="en-US" w:eastAsia="zh-CN"/>
              </w:rPr>
              <w:t>佩戴工牌。</w:t>
            </w:r>
          </w:p>
        </w:tc>
        <w:tc>
          <w:tcPr>
            <w:tcW w:w="2778" w:type="dxa"/>
            <w:noWrap w:val="0"/>
            <w:vAlign w:val="center"/>
          </w:tcPr>
          <w:p w14:paraId="2DAB1C0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0456520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4D03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29336E5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3F43E29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2</w:t>
            </w:r>
          </w:p>
        </w:tc>
        <w:tc>
          <w:tcPr>
            <w:tcW w:w="4900" w:type="dxa"/>
            <w:noWrap w:val="0"/>
            <w:vAlign w:val="center"/>
          </w:tcPr>
          <w:p w14:paraId="3E94AE3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工作时间不干私事，值班室内不烹饪、不煮饭等，岗位上不吸烟、不吃零食、不看书报、不会客、不玩手机、不听收（录）音机，不嬉戏、不打闹等影响工作的现象。</w:t>
            </w:r>
          </w:p>
        </w:tc>
        <w:tc>
          <w:tcPr>
            <w:tcW w:w="2778" w:type="dxa"/>
            <w:noWrap w:val="0"/>
            <w:vAlign w:val="center"/>
          </w:tcPr>
          <w:p w14:paraId="69E7643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16B5841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0B94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3AE003E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51A7F3C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3</w:t>
            </w:r>
          </w:p>
        </w:tc>
        <w:tc>
          <w:tcPr>
            <w:tcW w:w="4900" w:type="dxa"/>
            <w:noWrap w:val="0"/>
            <w:vAlign w:val="center"/>
          </w:tcPr>
          <w:p w14:paraId="1EAD789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态度端正，服从工作安排。</w:t>
            </w:r>
          </w:p>
        </w:tc>
        <w:tc>
          <w:tcPr>
            <w:tcW w:w="2778" w:type="dxa"/>
            <w:noWrap w:val="0"/>
            <w:vAlign w:val="center"/>
          </w:tcPr>
          <w:p w14:paraId="484DBA4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645C0A4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2F23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48C395E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122EED0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4</w:t>
            </w:r>
          </w:p>
        </w:tc>
        <w:tc>
          <w:tcPr>
            <w:tcW w:w="4900" w:type="dxa"/>
            <w:noWrap w:val="0"/>
            <w:vAlign w:val="center"/>
          </w:tcPr>
          <w:p w14:paraId="33D2260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eastAsia="zh-CN"/>
              </w:rPr>
              <w:t>值班岗位、</w:t>
            </w:r>
            <w:r>
              <w:rPr>
                <w:rFonts w:hint="eastAsia" w:ascii="仿宋" w:hAnsi="仿宋" w:eastAsia="仿宋" w:cs="仿宋"/>
                <w:snapToGrid w:val="0"/>
                <w:color w:val="000000"/>
                <w:spacing w:val="9"/>
                <w:kern w:val="0"/>
                <w:sz w:val="24"/>
                <w:szCs w:val="24"/>
                <w:lang w:val="en-US" w:eastAsia="zh-CN"/>
              </w:rPr>
              <w:t>值班室</w:t>
            </w:r>
            <w:r>
              <w:rPr>
                <w:rFonts w:hint="eastAsia" w:ascii="仿宋" w:hAnsi="仿宋" w:eastAsia="仿宋" w:cs="仿宋"/>
                <w:snapToGrid w:val="0"/>
                <w:color w:val="000000"/>
                <w:spacing w:val="9"/>
                <w:kern w:val="0"/>
                <w:sz w:val="24"/>
                <w:szCs w:val="24"/>
                <w:lang w:eastAsia="zh-CN"/>
              </w:rPr>
              <w:t>按规定</w:t>
            </w:r>
            <w:r>
              <w:rPr>
                <w:rFonts w:hint="eastAsia" w:ascii="仿宋" w:hAnsi="仿宋" w:eastAsia="仿宋" w:cs="仿宋"/>
                <w:snapToGrid w:val="0"/>
                <w:color w:val="000000"/>
                <w:spacing w:val="9"/>
                <w:kern w:val="0"/>
                <w:sz w:val="24"/>
                <w:szCs w:val="24"/>
                <w:lang w:val="en-US" w:eastAsia="zh-CN"/>
              </w:rPr>
              <w:t>保持整洁，无杂物堆放</w:t>
            </w:r>
            <w:r>
              <w:rPr>
                <w:rFonts w:hint="eastAsia" w:ascii="仿宋" w:hAnsi="仿宋" w:eastAsia="仿宋" w:cs="仿宋"/>
                <w:snapToGrid w:val="0"/>
                <w:color w:val="000000"/>
                <w:spacing w:val="9"/>
                <w:kern w:val="0"/>
                <w:sz w:val="24"/>
                <w:szCs w:val="24"/>
                <w:lang w:eastAsia="zh-CN"/>
              </w:rPr>
              <w:t>。</w:t>
            </w:r>
          </w:p>
        </w:tc>
        <w:tc>
          <w:tcPr>
            <w:tcW w:w="2778" w:type="dxa"/>
            <w:noWrap w:val="0"/>
            <w:vAlign w:val="center"/>
          </w:tcPr>
          <w:p w14:paraId="4B03314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1540DE8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1A66E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6E92652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0A9CA17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5</w:t>
            </w:r>
          </w:p>
        </w:tc>
        <w:tc>
          <w:tcPr>
            <w:tcW w:w="4900" w:type="dxa"/>
            <w:noWrap w:val="0"/>
            <w:vAlign w:val="center"/>
          </w:tcPr>
          <w:p w14:paraId="4CD7A24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使用文明用语，微笑服务；不</w:t>
            </w:r>
            <w:r>
              <w:rPr>
                <w:rFonts w:hint="eastAsia" w:ascii="仿宋" w:hAnsi="仿宋" w:eastAsia="仿宋" w:cs="仿宋"/>
                <w:snapToGrid w:val="0"/>
                <w:color w:val="000000"/>
                <w:spacing w:val="9"/>
                <w:kern w:val="0"/>
                <w:sz w:val="24"/>
                <w:szCs w:val="24"/>
                <w:lang w:eastAsia="zh-CN"/>
              </w:rPr>
              <w:t>与同事或师生发生言语冲突、肢体冲突</w:t>
            </w:r>
            <w:r>
              <w:rPr>
                <w:rFonts w:hint="eastAsia" w:ascii="仿宋" w:hAnsi="仿宋" w:eastAsia="仿宋" w:cs="仿宋"/>
                <w:snapToGrid w:val="0"/>
                <w:color w:val="000000"/>
                <w:spacing w:val="9"/>
                <w:kern w:val="0"/>
                <w:sz w:val="24"/>
                <w:szCs w:val="24"/>
                <w:lang w:val="en-US" w:eastAsia="zh-CN"/>
              </w:rPr>
              <w:t>。</w:t>
            </w:r>
          </w:p>
        </w:tc>
        <w:tc>
          <w:tcPr>
            <w:tcW w:w="2778" w:type="dxa"/>
            <w:noWrap w:val="0"/>
            <w:vAlign w:val="center"/>
          </w:tcPr>
          <w:p w14:paraId="56FA127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每人每次扣2分</w:t>
            </w:r>
          </w:p>
        </w:tc>
        <w:tc>
          <w:tcPr>
            <w:tcW w:w="538" w:type="dxa"/>
            <w:noWrap w:val="0"/>
            <w:vAlign w:val="center"/>
          </w:tcPr>
          <w:p w14:paraId="697B402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577C5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1C2C373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3B47489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6</w:t>
            </w:r>
          </w:p>
        </w:tc>
        <w:tc>
          <w:tcPr>
            <w:tcW w:w="4900" w:type="dxa"/>
            <w:noWrap w:val="0"/>
            <w:vAlign w:val="center"/>
          </w:tcPr>
          <w:p w14:paraId="69E90E4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eastAsia="zh-CN"/>
              </w:rPr>
              <w:t>员工</w:t>
            </w:r>
            <w:r>
              <w:rPr>
                <w:rFonts w:hint="eastAsia" w:ascii="仿宋" w:hAnsi="仿宋" w:eastAsia="仿宋" w:cs="仿宋"/>
                <w:snapToGrid w:val="0"/>
                <w:color w:val="000000"/>
                <w:spacing w:val="9"/>
                <w:kern w:val="0"/>
                <w:sz w:val="24"/>
                <w:szCs w:val="24"/>
                <w:lang w:val="en-US" w:eastAsia="zh-CN"/>
              </w:rPr>
              <w:t>无</w:t>
            </w:r>
            <w:r>
              <w:rPr>
                <w:rFonts w:hint="eastAsia" w:ascii="仿宋" w:hAnsi="仿宋" w:eastAsia="仿宋" w:cs="仿宋"/>
                <w:snapToGrid w:val="0"/>
                <w:color w:val="000000"/>
                <w:spacing w:val="9"/>
                <w:kern w:val="0"/>
                <w:sz w:val="24"/>
                <w:szCs w:val="24"/>
                <w:lang w:eastAsia="zh-CN"/>
              </w:rPr>
              <w:t>违法、</w:t>
            </w:r>
            <w:r>
              <w:rPr>
                <w:rFonts w:hint="eastAsia" w:ascii="仿宋" w:hAnsi="仿宋" w:eastAsia="仿宋" w:cs="仿宋"/>
                <w:snapToGrid w:val="0"/>
                <w:color w:val="000000"/>
                <w:spacing w:val="9"/>
                <w:kern w:val="0"/>
                <w:sz w:val="24"/>
                <w:szCs w:val="24"/>
                <w:lang w:val="en-US" w:eastAsia="zh-CN"/>
              </w:rPr>
              <w:t>无</w:t>
            </w:r>
            <w:r>
              <w:rPr>
                <w:rFonts w:hint="eastAsia" w:ascii="仿宋" w:hAnsi="仿宋" w:eastAsia="仿宋" w:cs="仿宋"/>
                <w:snapToGrid w:val="0"/>
                <w:color w:val="000000"/>
                <w:spacing w:val="9"/>
                <w:kern w:val="0"/>
                <w:sz w:val="24"/>
                <w:szCs w:val="24"/>
                <w:lang w:eastAsia="zh-CN"/>
              </w:rPr>
              <w:t>违规、</w:t>
            </w:r>
            <w:r>
              <w:rPr>
                <w:rFonts w:hint="eastAsia" w:ascii="仿宋" w:hAnsi="仿宋" w:eastAsia="仿宋" w:cs="仿宋"/>
                <w:snapToGrid w:val="0"/>
                <w:color w:val="000000"/>
                <w:spacing w:val="9"/>
                <w:kern w:val="0"/>
                <w:sz w:val="24"/>
                <w:szCs w:val="24"/>
                <w:lang w:val="en-US" w:eastAsia="zh-CN"/>
              </w:rPr>
              <w:t>无违纪</w:t>
            </w:r>
            <w:r>
              <w:rPr>
                <w:rFonts w:hint="eastAsia" w:ascii="仿宋" w:hAnsi="仿宋" w:eastAsia="仿宋" w:cs="仿宋"/>
                <w:snapToGrid w:val="0"/>
                <w:color w:val="000000"/>
                <w:spacing w:val="9"/>
                <w:kern w:val="0"/>
                <w:sz w:val="24"/>
                <w:szCs w:val="24"/>
                <w:lang w:eastAsia="zh-CN"/>
              </w:rPr>
              <w:t>行为。</w:t>
            </w:r>
          </w:p>
        </w:tc>
        <w:tc>
          <w:tcPr>
            <w:tcW w:w="2778" w:type="dxa"/>
            <w:noWrap w:val="0"/>
            <w:vAlign w:val="center"/>
          </w:tcPr>
          <w:p w14:paraId="1444ABE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每人每次扣5-10分，并辞退相关员工</w:t>
            </w:r>
          </w:p>
        </w:tc>
        <w:tc>
          <w:tcPr>
            <w:tcW w:w="538" w:type="dxa"/>
            <w:noWrap w:val="0"/>
            <w:vAlign w:val="center"/>
          </w:tcPr>
          <w:p w14:paraId="5D60CFC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215D1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tcBorders>
              <w:top w:val="single" w:color="000000" w:sz="2" w:space="0"/>
              <w:bottom w:val="single" w:color="000000" w:sz="2" w:space="0"/>
            </w:tcBorders>
            <w:noWrap w:val="0"/>
            <w:vAlign w:val="center"/>
          </w:tcPr>
          <w:p w14:paraId="1DF67CE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楼宇值班</w:t>
            </w:r>
          </w:p>
        </w:tc>
        <w:tc>
          <w:tcPr>
            <w:tcW w:w="770" w:type="dxa"/>
            <w:noWrap w:val="0"/>
            <w:vAlign w:val="center"/>
          </w:tcPr>
          <w:p w14:paraId="6525D8B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7</w:t>
            </w:r>
          </w:p>
        </w:tc>
        <w:tc>
          <w:tcPr>
            <w:tcW w:w="4900" w:type="dxa"/>
            <w:noWrap w:val="0"/>
            <w:vAlign w:val="center"/>
          </w:tcPr>
          <w:p w14:paraId="58403B9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无</w:t>
            </w:r>
            <w:r>
              <w:rPr>
                <w:rFonts w:hint="eastAsia" w:ascii="仿宋" w:hAnsi="仿宋" w:eastAsia="仿宋" w:cs="仿宋"/>
                <w:snapToGrid w:val="0"/>
                <w:color w:val="000000"/>
                <w:spacing w:val="9"/>
                <w:kern w:val="0"/>
                <w:sz w:val="24"/>
                <w:szCs w:val="24"/>
                <w:lang w:eastAsia="zh-CN"/>
              </w:rPr>
              <w:t>迟到、</w:t>
            </w:r>
            <w:r>
              <w:rPr>
                <w:rFonts w:hint="eastAsia" w:ascii="仿宋" w:hAnsi="仿宋" w:eastAsia="仿宋" w:cs="仿宋"/>
                <w:snapToGrid w:val="0"/>
                <w:color w:val="000000"/>
                <w:spacing w:val="9"/>
                <w:kern w:val="0"/>
                <w:sz w:val="24"/>
                <w:szCs w:val="24"/>
                <w:lang w:val="en-US" w:eastAsia="zh-CN"/>
              </w:rPr>
              <w:t>无早退</w:t>
            </w:r>
            <w:r>
              <w:rPr>
                <w:rFonts w:hint="eastAsia" w:ascii="仿宋" w:hAnsi="仿宋" w:eastAsia="仿宋" w:cs="仿宋"/>
                <w:snapToGrid w:val="0"/>
                <w:color w:val="000000"/>
                <w:spacing w:val="9"/>
                <w:kern w:val="0"/>
                <w:sz w:val="24"/>
                <w:szCs w:val="24"/>
                <w:lang w:eastAsia="zh-CN"/>
              </w:rPr>
              <w:t>，无故旷工，</w:t>
            </w:r>
            <w:r>
              <w:rPr>
                <w:rFonts w:hint="eastAsia" w:ascii="仿宋" w:hAnsi="仿宋" w:eastAsia="仿宋" w:cs="仿宋"/>
                <w:snapToGrid w:val="0"/>
                <w:color w:val="000000"/>
                <w:spacing w:val="9"/>
                <w:kern w:val="0"/>
                <w:sz w:val="24"/>
                <w:szCs w:val="24"/>
                <w:lang w:val="en-US" w:eastAsia="zh-CN"/>
              </w:rPr>
              <w:t>按规定</w:t>
            </w:r>
            <w:r>
              <w:rPr>
                <w:rFonts w:hint="eastAsia" w:ascii="仿宋" w:hAnsi="仿宋" w:eastAsia="仿宋" w:cs="仿宋"/>
                <w:snapToGrid w:val="0"/>
                <w:color w:val="000000"/>
                <w:spacing w:val="9"/>
                <w:kern w:val="0"/>
                <w:sz w:val="24"/>
                <w:szCs w:val="24"/>
                <w:lang w:eastAsia="zh-CN"/>
              </w:rPr>
              <w:t>请假。</w:t>
            </w:r>
          </w:p>
        </w:tc>
        <w:tc>
          <w:tcPr>
            <w:tcW w:w="2778" w:type="dxa"/>
            <w:noWrap w:val="0"/>
            <w:vAlign w:val="center"/>
          </w:tcPr>
          <w:p w14:paraId="01B9C03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65031D60">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763F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5733200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15C6040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8</w:t>
            </w:r>
          </w:p>
        </w:tc>
        <w:tc>
          <w:tcPr>
            <w:tcW w:w="4900" w:type="dxa"/>
            <w:noWrap w:val="0"/>
            <w:vAlign w:val="center"/>
          </w:tcPr>
          <w:p w14:paraId="5EDCB03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有专项工作记录本、人员来访登记本、报修登记本、大件物品出入登记本、消防巡查记录本、签到表、巡查表等，做好岗位值班记录；记录本要完整详尽，相关记录有主管签阅意见。</w:t>
            </w:r>
          </w:p>
        </w:tc>
        <w:tc>
          <w:tcPr>
            <w:tcW w:w="2778" w:type="dxa"/>
            <w:noWrap w:val="0"/>
            <w:vAlign w:val="center"/>
          </w:tcPr>
          <w:p w14:paraId="62FC732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每人每次扣1分</w:t>
            </w:r>
          </w:p>
        </w:tc>
        <w:tc>
          <w:tcPr>
            <w:tcW w:w="538" w:type="dxa"/>
            <w:noWrap w:val="0"/>
            <w:vAlign w:val="center"/>
          </w:tcPr>
          <w:p w14:paraId="30E9659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5EC3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026AA92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79E8F800">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9</w:t>
            </w:r>
          </w:p>
        </w:tc>
        <w:tc>
          <w:tcPr>
            <w:tcW w:w="4900" w:type="dxa"/>
            <w:noWrap w:val="0"/>
            <w:vAlign w:val="center"/>
          </w:tcPr>
          <w:p w14:paraId="4451948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按照学校的作息时间和相关部门要求对管辖楼宇开关门和关闭公区水电灯。</w:t>
            </w:r>
          </w:p>
        </w:tc>
        <w:tc>
          <w:tcPr>
            <w:tcW w:w="2778" w:type="dxa"/>
            <w:noWrap w:val="0"/>
            <w:vAlign w:val="center"/>
          </w:tcPr>
          <w:p w14:paraId="5F0283B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02C86FB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p w14:paraId="17DB048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3716C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047FCD9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6BCCA92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10</w:t>
            </w:r>
          </w:p>
        </w:tc>
        <w:tc>
          <w:tcPr>
            <w:tcW w:w="4900" w:type="dxa"/>
            <w:noWrap w:val="0"/>
            <w:vAlign w:val="center"/>
          </w:tcPr>
          <w:p w14:paraId="1D709D0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保持教师休息室门禁正常使用。</w:t>
            </w:r>
          </w:p>
        </w:tc>
        <w:tc>
          <w:tcPr>
            <w:tcW w:w="2778" w:type="dxa"/>
            <w:noWrap w:val="0"/>
            <w:vAlign w:val="center"/>
          </w:tcPr>
          <w:p w14:paraId="2DE7979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3EF15FA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2E77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6CF2A79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59E0573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11</w:t>
            </w:r>
          </w:p>
        </w:tc>
        <w:tc>
          <w:tcPr>
            <w:tcW w:w="4900" w:type="dxa"/>
            <w:noWrap w:val="0"/>
            <w:vAlign w:val="center"/>
          </w:tcPr>
          <w:p w14:paraId="67F5019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按时巡楼、</w:t>
            </w:r>
            <w:r>
              <w:rPr>
                <w:rFonts w:hint="eastAsia" w:ascii="仿宋" w:hAnsi="仿宋" w:eastAsia="仿宋" w:cs="仿宋"/>
                <w:snapToGrid w:val="0"/>
                <w:color w:val="000000"/>
                <w:spacing w:val="9"/>
                <w:kern w:val="0"/>
                <w:sz w:val="24"/>
                <w:szCs w:val="24"/>
                <w:lang w:val="en-US" w:eastAsia="zh-CN"/>
              </w:rPr>
              <w:t>每日检查设施设备，对故障、</w:t>
            </w:r>
            <w:r>
              <w:rPr>
                <w:rFonts w:hint="eastAsia" w:ascii="仿宋" w:hAnsi="仿宋" w:eastAsia="仿宋" w:cs="仿宋"/>
                <w:snapToGrid w:val="0"/>
                <w:color w:val="000000"/>
                <w:spacing w:val="9"/>
                <w:kern w:val="0"/>
                <w:sz w:val="24"/>
                <w:szCs w:val="24"/>
                <w:lang w:eastAsia="zh-CN"/>
              </w:rPr>
              <w:t>安全隐患</w:t>
            </w:r>
            <w:r>
              <w:rPr>
                <w:rFonts w:hint="eastAsia" w:ascii="仿宋" w:hAnsi="仿宋" w:eastAsia="仿宋" w:cs="仿宋"/>
                <w:snapToGrid w:val="0"/>
                <w:color w:val="000000"/>
                <w:spacing w:val="9"/>
                <w:kern w:val="0"/>
                <w:sz w:val="24"/>
                <w:szCs w:val="24"/>
                <w:lang w:val="en-US" w:eastAsia="zh-CN"/>
              </w:rPr>
              <w:t>及时报修、上报；对管辖楼宇定时定点巡查，按规定要求签到，杜绝影响正常教学运行的情况发生。</w:t>
            </w:r>
          </w:p>
        </w:tc>
        <w:tc>
          <w:tcPr>
            <w:tcW w:w="2778" w:type="dxa"/>
            <w:noWrap w:val="0"/>
            <w:vAlign w:val="center"/>
          </w:tcPr>
          <w:p w14:paraId="4EBCF29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487903F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4564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38FDF16B">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6CFFF48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12</w:t>
            </w:r>
          </w:p>
        </w:tc>
        <w:tc>
          <w:tcPr>
            <w:tcW w:w="4900" w:type="dxa"/>
            <w:noWrap w:val="0"/>
            <w:vAlign w:val="center"/>
          </w:tcPr>
          <w:p w14:paraId="2BABECC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各楼宇大门、消防通道、天台等辖区钥匙标记清楚，有固定安全的存放地点，确保钥匙不缺失且正常使用；值班工作人员要熟悉并熟练使用。</w:t>
            </w:r>
          </w:p>
        </w:tc>
        <w:tc>
          <w:tcPr>
            <w:tcW w:w="2778" w:type="dxa"/>
            <w:noWrap w:val="0"/>
            <w:vAlign w:val="center"/>
          </w:tcPr>
          <w:p w14:paraId="3F835B6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41C503D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195A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14DC078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566F828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13</w:t>
            </w:r>
          </w:p>
        </w:tc>
        <w:tc>
          <w:tcPr>
            <w:tcW w:w="4900" w:type="dxa"/>
            <w:noWrap w:val="0"/>
            <w:vAlign w:val="center"/>
          </w:tcPr>
          <w:p w14:paraId="42591BA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消防通道</w:t>
            </w:r>
            <w:r>
              <w:rPr>
                <w:rFonts w:hint="eastAsia" w:ascii="仿宋" w:hAnsi="仿宋" w:eastAsia="仿宋" w:cs="仿宋"/>
                <w:snapToGrid w:val="0"/>
                <w:color w:val="000000"/>
                <w:spacing w:val="9"/>
                <w:kern w:val="0"/>
                <w:sz w:val="24"/>
                <w:szCs w:val="24"/>
                <w:lang w:val="en-US" w:eastAsia="zh-CN"/>
              </w:rPr>
              <w:t>保持</w:t>
            </w:r>
            <w:r>
              <w:rPr>
                <w:rFonts w:hint="eastAsia" w:ascii="仿宋" w:hAnsi="仿宋" w:eastAsia="仿宋" w:cs="仿宋"/>
                <w:snapToGrid w:val="0"/>
                <w:color w:val="000000"/>
                <w:spacing w:val="9"/>
                <w:kern w:val="0"/>
                <w:sz w:val="24"/>
                <w:szCs w:val="24"/>
                <w:lang w:eastAsia="zh-CN"/>
              </w:rPr>
              <w:t>畅通，</w:t>
            </w:r>
            <w:r>
              <w:rPr>
                <w:rFonts w:hint="eastAsia" w:ascii="仿宋" w:hAnsi="仿宋" w:eastAsia="仿宋" w:cs="仿宋"/>
                <w:snapToGrid w:val="0"/>
                <w:color w:val="000000"/>
                <w:spacing w:val="9"/>
                <w:kern w:val="0"/>
                <w:sz w:val="24"/>
                <w:szCs w:val="24"/>
                <w:lang w:val="en-US" w:eastAsia="zh-CN"/>
              </w:rPr>
              <w:t>车辆及杂物及时清理。</w:t>
            </w:r>
          </w:p>
        </w:tc>
        <w:tc>
          <w:tcPr>
            <w:tcW w:w="2778" w:type="dxa"/>
            <w:noWrap w:val="0"/>
            <w:vAlign w:val="center"/>
          </w:tcPr>
          <w:p w14:paraId="6379BAE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7606F18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6523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bottom w:val="single" w:color="000000" w:sz="2" w:space="0"/>
            </w:tcBorders>
            <w:noWrap w:val="0"/>
            <w:vAlign w:val="center"/>
          </w:tcPr>
          <w:p w14:paraId="54AC4C2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noWrap w:val="0"/>
            <w:vAlign w:val="center"/>
          </w:tcPr>
          <w:p w14:paraId="3F78ECD0">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eastAsia="zh-CN"/>
              </w:rPr>
              <w:t>14</w:t>
            </w:r>
          </w:p>
        </w:tc>
        <w:tc>
          <w:tcPr>
            <w:tcW w:w="4900" w:type="dxa"/>
            <w:noWrap w:val="0"/>
            <w:vAlign w:val="center"/>
          </w:tcPr>
          <w:p w14:paraId="12FB7EA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熟练使用楼内消防设施，熟悉并掌握楼内布局情况，每天对大楼内消防安全及消防设施巡查并做好相关记录。</w:t>
            </w:r>
          </w:p>
        </w:tc>
        <w:tc>
          <w:tcPr>
            <w:tcW w:w="2778" w:type="dxa"/>
            <w:noWrap w:val="0"/>
            <w:vAlign w:val="center"/>
          </w:tcPr>
          <w:p w14:paraId="2B44BF9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r>
              <w:rPr>
                <w:rFonts w:hint="eastAsia" w:ascii="仿宋" w:hAnsi="仿宋" w:eastAsia="仿宋" w:cs="仿宋"/>
                <w:snapToGrid w:val="0"/>
                <w:color w:val="000000"/>
                <w:spacing w:val="9"/>
                <w:kern w:val="0"/>
                <w:sz w:val="24"/>
                <w:szCs w:val="24"/>
                <w:lang w:val="en-US" w:eastAsia="zh-CN"/>
              </w:rPr>
              <w:t>未达到，</w:t>
            </w:r>
            <w:r>
              <w:rPr>
                <w:rFonts w:hint="eastAsia" w:ascii="仿宋" w:hAnsi="仿宋" w:eastAsia="仿宋" w:cs="仿宋"/>
                <w:snapToGrid w:val="0"/>
                <w:color w:val="000000"/>
                <w:spacing w:val="9"/>
                <w:kern w:val="0"/>
                <w:sz w:val="24"/>
                <w:szCs w:val="24"/>
                <w:lang w:eastAsia="zh-CN"/>
              </w:rPr>
              <w:t>每次</w:t>
            </w:r>
            <w:r>
              <w:rPr>
                <w:rFonts w:hint="eastAsia" w:ascii="仿宋" w:hAnsi="仿宋" w:eastAsia="仿宋" w:cs="仿宋"/>
                <w:snapToGrid w:val="0"/>
                <w:color w:val="000000"/>
                <w:spacing w:val="9"/>
                <w:kern w:val="0"/>
                <w:sz w:val="24"/>
                <w:szCs w:val="24"/>
                <w:lang w:val="en-US" w:eastAsia="zh-CN"/>
              </w:rPr>
              <w:t>每项</w:t>
            </w:r>
            <w:r>
              <w:rPr>
                <w:rFonts w:hint="eastAsia" w:ascii="仿宋" w:hAnsi="仿宋" w:eastAsia="仿宋" w:cs="仿宋"/>
                <w:snapToGrid w:val="0"/>
                <w:color w:val="000000"/>
                <w:spacing w:val="9"/>
                <w:kern w:val="0"/>
                <w:sz w:val="24"/>
                <w:szCs w:val="24"/>
                <w:lang w:eastAsia="zh-CN"/>
              </w:rPr>
              <w:t>扣1分</w:t>
            </w:r>
          </w:p>
        </w:tc>
        <w:tc>
          <w:tcPr>
            <w:tcW w:w="538" w:type="dxa"/>
            <w:noWrap w:val="0"/>
            <w:vAlign w:val="center"/>
          </w:tcPr>
          <w:p w14:paraId="2AC4CC9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34E1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tcBorders>
              <w:top w:val="single" w:color="000000" w:sz="2" w:space="0"/>
              <w:left w:val="single" w:color="auto" w:sz="4" w:space="0"/>
              <w:bottom w:val="single" w:color="000000" w:sz="2" w:space="0"/>
              <w:right w:val="single" w:color="auto" w:sz="4" w:space="0"/>
            </w:tcBorders>
            <w:noWrap w:val="0"/>
            <w:vAlign w:val="center"/>
          </w:tcPr>
          <w:p w14:paraId="05077B4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投诉</w:t>
            </w:r>
          </w:p>
        </w:tc>
        <w:tc>
          <w:tcPr>
            <w:tcW w:w="770" w:type="dxa"/>
            <w:tcBorders>
              <w:left w:val="single" w:color="auto" w:sz="4" w:space="0"/>
            </w:tcBorders>
            <w:noWrap w:val="0"/>
            <w:vAlign w:val="center"/>
          </w:tcPr>
          <w:p w14:paraId="43A5529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15</w:t>
            </w:r>
          </w:p>
        </w:tc>
        <w:tc>
          <w:tcPr>
            <w:tcW w:w="4900" w:type="dxa"/>
            <w:noWrap w:val="0"/>
            <w:vAlign w:val="center"/>
          </w:tcPr>
          <w:p w14:paraId="50F014B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师生有效投诉；对投诉问题未及时整改且未对师生进行解释、上报。</w:t>
            </w:r>
          </w:p>
        </w:tc>
        <w:tc>
          <w:tcPr>
            <w:tcW w:w="2778" w:type="dxa"/>
            <w:noWrap w:val="0"/>
            <w:vAlign w:val="center"/>
          </w:tcPr>
          <w:p w14:paraId="107206A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1B296DB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13612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7E9A7D2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0F6835B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16</w:t>
            </w:r>
          </w:p>
        </w:tc>
        <w:tc>
          <w:tcPr>
            <w:tcW w:w="4900" w:type="dxa"/>
            <w:noWrap w:val="0"/>
            <w:vAlign w:val="center"/>
          </w:tcPr>
          <w:p w14:paraId="6F35211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监管部门因物业服务质量问题受到会议批评或文字通报批评的</w:t>
            </w:r>
          </w:p>
        </w:tc>
        <w:tc>
          <w:tcPr>
            <w:tcW w:w="2778" w:type="dxa"/>
            <w:noWrap w:val="0"/>
            <w:vAlign w:val="center"/>
          </w:tcPr>
          <w:p w14:paraId="619AAEB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53D42F7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11C0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74EB565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2E92BE2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17</w:t>
            </w:r>
          </w:p>
        </w:tc>
        <w:tc>
          <w:tcPr>
            <w:tcW w:w="4900" w:type="dxa"/>
            <w:noWrap w:val="0"/>
            <w:vAlign w:val="center"/>
          </w:tcPr>
          <w:p w14:paraId="0A8AC60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一天内对同一问题不改正</w:t>
            </w:r>
          </w:p>
        </w:tc>
        <w:tc>
          <w:tcPr>
            <w:tcW w:w="2778" w:type="dxa"/>
            <w:noWrap w:val="0"/>
            <w:vAlign w:val="center"/>
          </w:tcPr>
          <w:p w14:paraId="0DED86D6">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140BAC1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28D64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5D5DB22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598C034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18</w:t>
            </w:r>
          </w:p>
        </w:tc>
        <w:tc>
          <w:tcPr>
            <w:tcW w:w="4900" w:type="dxa"/>
            <w:noWrap w:val="0"/>
            <w:vAlign w:val="center"/>
          </w:tcPr>
          <w:p w14:paraId="50D01FC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不服从管理造成不良后果的</w:t>
            </w:r>
          </w:p>
        </w:tc>
        <w:tc>
          <w:tcPr>
            <w:tcW w:w="2778" w:type="dxa"/>
            <w:noWrap w:val="0"/>
            <w:vAlign w:val="center"/>
          </w:tcPr>
          <w:p w14:paraId="5D5A7E9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36D1142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1091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6ADDAAA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17D9812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19</w:t>
            </w:r>
          </w:p>
        </w:tc>
        <w:tc>
          <w:tcPr>
            <w:tcW w:w="4900" w:type="dxa"/>
            <w:noWrap w:val="0"/>
            <w:vAlign w:val="center"/>
          </w:tcPr>
          <w:p w14:paraId="0916055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服务学院满意度低于85％的</w:t>
            </w:r>
          </w:p>
        </w:tc>
        <w:tc>
          <w:tcPr>
            <w:tcW w:w="2778" w:type="dxa"/>
            <w:noWrap w:val="0"/>
            <w:vAlign w:val="center"/>
          </w:tcPr>
          <w:p w14:paraId="570612C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1B8BA3D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6F6B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79DA4EBC">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41C64F6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20</w:t>
            </w:r>
          </w:p>
        </w:tc>
        <w:tc>
          <w:tcPr>
            <w:tcW w:w="4900" w:type="dxa"/>
            <w:noWrap w:val="0"/>
            <w:vAlign w:val="center"/>
          </w:tcPr>
          <w:p w14:paraId="17D6F79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履行合同不到</w:t>
            </w:r>
            <w:r>
              <w:rPr>
                <w:rFonts w:hint="eastAsia" w:ascii="仿宋" w:hAnsi="仿宋" w:eastAsia="仿宋" w:cs="仿宋"/>
                <w:snapToGrid w:val="0"/>
                <w:color w:val="000000"/>
                <w:spacing w:val="9"/>
                <w:kern w:val="0"/>
                <w:sz w:val="24"/>
                <w:szCs w:val="24"/>
                <w:lang w:val="en-US" w:eastAsia="zh-CN"/>
              </w:rPr>
              <w:t>位</w:t>
            </w:r>
            <w:r>
              <w:rPr>
                <w:rFonts w:hint="eastAsia" w:ascii="仿宋" w:hAnsi="仿宋" w:eastAsia="仿宋" w:cs="仿宋"/>
                <w:snapToGrid w:val="0"/>
                <w:color w:val="000000"/>
                <w:spacing w:val="9"/>
                <w:kern w:val="0"/>
                <w:sz w:val="24"/>
                <w:szCs w:val="24"/>
                <w:lang w:eastAsia="zh-CN"/>
              </w:rPr>
              <w:t>，使学校或监管部门的利益受损的</w:t>
            </w:r>
          </w:p>
        </w:tc>
        <w:tc>
          <w:tcPr>
            <w:tcW w:w="2778" w:type="dxa"/>
            <w:noWrap w:val="0"/>
            <w:vAlign w:val="center"/>
          </w:tcPr>
          <w:p w14:paraId="63DA21F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val="en-US" w:eastAsia="zh-CN"/>
              </w:rPr>
              <w:t>每次</w:t>
            </w:r>
            <w:r>
              <w:rPr>
                <w:rFonts w:hint="eastAsia" w:ascii="仿宋" w:hAnsi="仿宋" w:eastAsia="仿宋" w:cs="仿宋"/>
                <w:snapToGrid w:val="0"/>
                <w:color w:val="000000"/>
                <w:spacing w:val="9"/>
                <w:kern w:val="0"/>
                <w:sz w:val="24"/>
                <w:szCs w:val="24"/>
                <w:lang w:eastAsia="zh-CN"/>
              </w:rPr>
              <w:t>扣2分</w:t>
            </w:r>
          </w:p>
        </w:tc>
        <w:tc>
          <w:tcPr>
            <w:tcW w:w="538" w:type="dxa"/>
            <w:noWrap w:val="0"/>
            <w:vAlign w:val="center"/>
          </w:tcPr>
          <w:p w14:paraId="7C79582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54C4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6BF5B40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3DCE255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21</w:t>
            </w:r>
          </w:p>
        </w:tc>
        <w:tc>
          <w:tcPr>
            <w:tcW w:w="4900" w:type="dxa"/>
            <w:noWrap w:val="0"/>
            <w:vAlign w:val="center"/>
          </w:tcPr>
          <w:p w14:paraId="2ED8861D">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其他不符合楼宇服务标准和工作规范的事项</w:t>
            </w:r>
          </w:p>
        </w:tc>
        <w:tc>
          <w:tcPr>
            <w:tcW w:w="2778" w:type="dxa"/>
            <w:noWrap w:val="0"/>
            <w:vAlign w:val="center"/>
          </w:tcPr>
          <w:p w14:paraId="17A40EE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酌情扣除1至5分</w:t>
            </w:r>
          </w:p>
        </w:tc>
        <w:tc>
          <w:tcPr>
            <w:tcW w:w="538" w:type="dxa"/>
            <w:noWrap w:val="0"/>
            <w:vAlign w:val="center"/>
          </w:tcPr>
          <w:p w14:paraId="60EF72E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4460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restart"/>
            <w:tcBorders>
              <w:top w:val="single" w:color="000000" w:sz="2" w:space="0"/>
              <w:left w:val="single" w:color="auto" w:sz="4" w:space="0"/>
              <w:bottom w:val="single" w:color="000000" w:sz="2" w:space="0"/>
              <w:right w:val="single" w:color="auto" w:sz="4" w:space="0"/>
            </w:tcBorders>
            <w:noWrap w:val="0"/>
            <w:vAlign w:val="center"/>
          </w:tcPr>
          <w:p w14:paraId="43A5CF5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其他</w:t>
            </w:r>
          </w:p>
        </w:tc>
        <w:tc>
          <w:tcPr>
            <w:tcW w:w="770" w:type="dxa"/>
            <w:tcBorders>
              <w:left w:val="single" w:color="auto" w:sz="4" w:space="0"/>
            </w:tcBorders>
            <w:noWrap w:val="0"/>
            <w:vAlign w:val="center"/>
          </w:tcPr>
          <w:p w14:paraId="0D50BC9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22</w:t>
            </w:r>
          </w:p>
        </w:tc>
        <w:tc>
          <w:tcPr>
            <w:tcW w:w="4900" w:type="dxa"/>
            <w:noWrap w:val="0"/>
            <w:vAlign w:val="center"/>
          </w:tcPr>
          <w:p w14:paraId="2EDDF24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其他不符合物业服务标准和规范的事项</w:t>
            </w:r>
          </w:p>
        </w:tc>
        <w:tc>
          <w:tcPr>
            <w:tcW w:w="2778" w:type="dxa"/>
            <w:noWrap w:val="0"/>
            <w:vAlign w:val="center"/>
          </w:tcPr>
          <w:p w14:paraId="15DB6199">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每次扣1-5分</w:t>
            </w:r>
          </w:p>
        </w:tc>
        <w:tc>
          <w:tcPr>
            <w:tcW w:w="538" w:type="dxa"/>
            <w:noWrap w:val="0"/>
            <w:vAlign w:val="center"/>
          </w:tcPr>
          <w:p w14:paraId="36DF52C0">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05F09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32F30107">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26F73664">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23</w:t>
            </w:r>
          </w:p>
        </w:tc>
        <w:tc>
          <w:tcPr>
            <w:tcW w:w="4900" w:type="dxa"/>
            <w:noWrap w:val="0"/>
            <w:vAlign w:val="center"/>
          </w:tcPr>
          <w:p w14:paraId="6135DBE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在上级领导巡查期间被批评</w:t>
            </w:r>
          </w:p>
        </w:tc>
        <w:tc>
          <w:tcPr>
            <w:tcW w:w="2778" w:type="dxa"/>
            <w:noWrap w:val="0"/>
            <w:vAlign w:val="center"/>
          </w:tcPr>
          <w:p w14:paraId="7736238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每次扣5分</w:t>
            </w:r>
          </w:p>
        </w:tc>
        <w:tc>
          <w:tcPr>
            <w:tcW w:w="538" w:type="dxa"/>
            <w:noWrap w:val="0"/>
            <w:vAlign w:val="center"/>
          </w:tcPr>
          <w:p w14:paraId="2C57C58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36F3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vMerge w:val="continue"/>
            <w:tcBorders>
              <w:top w:val="single" w:color="000000" w:sz="2" w:space="0"/>
              <w:left w:val="single" w:color="auto" w:sz="4" w:space="0"/>
              <w:bottom w:val="single" w:color="000000" w:sz="2" w:space="0"/>
              <w:right w:val="single" w:color="auto" w:sz="4" w:space="0"/>
            </w:tcBorders>
            <w:noWrap w:val="0"/>
            <w:vAlign w:val="center"/>
          </w:tcPr>
          <w:p w14:paraId="1C9750C0">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770" w:type="dxa"/>
            <w:tcBorders>
              <w:left w:val="single" w:color="auto" w:sz="4" w:space="0"/>
            </w:tcBorders>
            <w:noWrap w:val="0"/>
            <w:vAlign w:val="center"/>
          </w:tcPr>
          <w:p w14:paraId="697E488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24</w:t>
            </w:r>
          </w:p>
        </w:tc>
        <w:tc>
          <w:tcPr>
            <w:tcW w:w="4900" w:type="dxa"/>
            <w:noWrap w:val="0"/>
            <w:vAlign w:val="center"/>
          </w:tcPr>
          <w:p w14:paraId="468088F2">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在各级各类检查评比活动中被点名批评或查出问题</w:t>
            </w:r>
          </w:p>
        </w:tc>
        <w:tc>
          <w:tcPr>
            <w:tcW w:w="2778" w:type="dxa"/>
            <w:noWrap w:val="0"/>
            <w:vAlign w:val="center"/>
          </w:tcPr>
          <w:p w14:paraId="4CE9C8C1">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val="en-US" w:eastAsia="en-US"/>
              </w:rPr>
            </w:pPr>
            <w:r>
              <w:rPr>
                <w:rFonts w:hint="eastAsia" w:ascii="仿宋" w:hAnsi="仿宋" w:eastAsia="仿宋" w:cs="仿宋"/>
                <w:snapToGrid w:val="0"/>
                <w:color w:val="000000"/>
                <w:spacing w:val="9"/>
                <w:kern w:val="0"/>
                <w:sz w:val="24"/>
                <w:szCs w:val="24"/>
                <w:lang w:eastAsia="zh-CN"/>
              </w:rPr>
              <w:t>每次扣5-10分</w:t>
            </w:r>
          </w:p>
        </w:tc>
        <w:tc>
          <w:tcPr>
            <w:tcW w:w="538" w:type="dxa"/>
            <w:noWrap w:val="0"/>
            <w:vAlign w:val="center"/>
          </w:tcPr>
          <w:p w14:paraId="3402450E">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r w14:paraId="73EB1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52" w:type="dxa"/>
            <w:tcBorders>
              <w:top w:val="single" w:color="000000" w:sz="2" w:space="0"/>
              <w:left w:val="single" w:color="auto" w:sz="4" w:space="0"/>
              <w:bottom w:val="single" w:color="auto" w:sz="4" w:space="0"/>
              <w:right w:val="single" w:color="auto" w:sz="4" w:space="0"/>
            </w:tcBorders>
            <w:noWrap w:val="0"/>
            <w:vAlign w:val="center"/>
          </w:tcPr>
          <w:p w14:paraId="32BA9D25">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val="en-US" w:eastAsia="zh-CN"/>
              </w:rPr>
            </w:pPr>
            <w:r>
              <w:rPr>
                <w:rFonts w:hint="eastAsia" w:ascii="仿宋" w:hAnsi="仿宋" w:eastAsia="仿宋" w:cs="仿宋"/>
                <w:snapToGrid w:val="0"/>
                <w:color w:val="000000"/>
                <w:spacing w:val="9"/>
                <w:kern w:val="0"/>
                <w:sz w:val="24"/>
                <w:szCs w:val="24"/>
                <w:lang w:val="en-US" w:eastAsia="zh-CN"/>
              </w:rPr>
              <w:t>合计</w:t>
            </w:r>
          </w:p>
        </w:tc>
        <w:tc>
          <w:tcPr>
            <w:tcW w:w="770" w:type="dxa"/>
            <w:tcBorders>
              <w:left w:val="single" w:color="auto" w:sz="4" w:space="0"/>
            </w:tcBorders>
            <w:noWrap w:val="0"/>
            <w:vAlign w:val="center"/>
          </w:tcPr>
          <w:p w14:paraId="7593FCE3">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仿宋" w:hAnsi="仿宋" w:eastAsia="仿宋" w:cs="仿宋"/>
                <w:snapToGrid w:val="0"/>
                <w:color w:val="000000"/>
                <w:spacing w:val="9"/>
                <w:kern w:val="0"/>
                <w:sz w:val="24"/>
                <w:szCs w:val="24"/>
                <w:lang w:eastAsia="zh-CN"/>
              </w:rPr>
            </w:pPr>
          </w:p>
        </w:tc>
        <w:tc>
          <w:tcPr>
            <w:tcW w:w="4900" w:type="dxa"/>
            <w:noWrap w:val="0"/>
            <w:vAlign w:val="center"/>
          </w:tcPr>
          <w:p w14:paraId="679BDE98">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c>
          <w:tcPr>
            <w:tcW w:w="2778" w:type="dxa"/>
            <w:noWrap w:val="0"/>
            <w:vAlign w:val="center"/>
          </w:tcPr>
          <w:p w14:paraId="2976ED6A">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c>
          <w:tcPr>
            <w:tcW w:w="538" w:type="dxa"/>
            <w:noWrap w:val="0"/>
            <w:vAlign w:val="center"/>
          </w:tcPr>
          <w:p w14:paraId="495E90DF">
            <w:pPr>
              <w:pStyle w:val="269"/>
              <w:keepNext w:val="0"/>
              <w:keepLines w:val="0"/>
              <w:pageBreakBefore w:val="0"/>
              <w:widowControl/>
              <w:kinsoku/>
              <w:wordWrap/>
              <w:overflowPunct/>
              <w:topLinePunct w:val="0"/>
              <w:autoSpaceDE/>
              <w:autoSpaceDN/>
              <w:bidi w:val="0"/>
              <w:adjustRightInd/>
              <w:snapToGrid/>
              <w:spacing w:line="360" w:lineRule="exact"/>
              <w:ind w:left="0" w:leftChars="0" w:right="0"/>
              <w:jc w:val="both"/>
              <w:textAlignment w:val="auto"/>
              <w:rPr>
                <w:rFonts w:hint="eastAsia" w:ascii="仿宋" w:hAnsi="仿宋" w:eastAsia="仿宋" w:cs="仿宋"/>
                <w:snapToGrid w:val="0"/>
                <w:color w:val="000000"/>
                <w:spacing w:val="9"/>
                <w:kern w:val="0"/>
                <w:sz w:val="24"/>
                <w:szCs w:val="24"/>
                <w:lang w:eastAsia="zh-CN"/>
              </w:rPr>
            </w:pPr>
          </w:p>
        </w:tc>
      </w:tr>
    </w:tbl>
    <w:p w14:paraId="5621AAC4">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509F13BF">
      <w:pPr>
        <w:pStyle w:val="4"/>
        <w:pageBreakBefore w:val="0"/>
        <w:kinsoku/>
        <w:wordWrap/>
        <w:overflowPunct/>
        <w:topLinePunct w:val="0"/>
        <w:bidi w:val="0"/>
        <w:spacing w:before="0" w:line="192" w:lineRule="auto"/>
        <w:ind w:left="0" w:leftChars="0" w:right="0"/>
        <w:jc w:val="both"/>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备注：考核总分为100分，减去扣分后为最终得分。</w:t>
      </w:r>
    </w:p>
    <w:p w14:paraId="3FD458B6">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1F3C44AD">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0C14CD3C">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48D88581">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690F6A00">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543476ED">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7B19EC47">
      <w:pPr>
        <w:pageBreakBefore w:val="0"/>
        <w:kinsoku/>
        <w:wordWrap/>
        <w:overflowPunct/>
        <w:topLinePunct w:val="0"/>
        <w:bidi w:val="0"/>
        <w:spacing w:line="38" w:lineRule="exact"/>
        <w:ind w:left="0" w:leftChars="0" w:right="0"/>
        <w:jc w:val="both"/>
        <w:rPr>
          <w:rFonts w:hint="eastAsia" w:ascii="仿宋" w:hAnsi="仿宋" w:eastAsia="仿宋" w:cs="仿宋"/>
          <w:sz w:val="28"/>
          <w:szCs w:val="28"/>
        </w:rPr>
      </w:pPr>
    </w:p>
    <w:p w14:paraId="4357FC66">
      <w:pPr>
        <w:pageBreakBefore w:val="0"/>
        <w:kinsoku/>
        <w:wordWrap/>
        <w:overflowPunct/>
        <w:topLinePunct w:val="0"/>
        <w:bidi w:val="0"/>
        <w:ind w:left="0" w:leftChars="0" w:right="0"/>
        <w:jc w:val="center"/>
        <w:outlineLvl w:val="2"/>
        <w:rPr>
          <w:rFonts w:hint="eastAsia" w:ascii="仿宋" w:hAnsi="仿宋" w:eastAsia="仿宋" w:cs="仿宋"/>
          <w:sz w:val="28"/>
          <w:szCs w:val="28"/>
        </w:rPr>
      </w:pPr>
      <w:r>
        <w:rPr>
          <w:rFonts w:hint="eastAsia" w:ascii="仿宋" w:hAnsi="仿宋" w:eastAsia="仿宋" w:cs="仿宋"/>
          <w:b/>
          <w:bCs/>
          <w:spacing w:val="3"/>
          <w:sz w:val="28"/>
          <w:szCs w:val="28"/>
        </w:rPr>
        <w:br w:type="page"/>
      </w:r>
      <w:r>
        <w:rPr>
          <w:rFonts w:hint="eastAsia" w:ascii="仿宋" w:hAnsi="仿宋" w:eastAsia="仿宋" w:cs="仿宋"/>
          <w:b/>
          <w:bCs/>
          <w:spacing w:val="3"/>
          <w:sz w:val="28"/>
          <w:szCs w:val="28"/>
        </w:rPr>
        <w:t>（</w:t>
      </w:r>
      <w:r>
        <w:rPr>
          <w:rFonts w:hint="eastAsia" w:ascii="仿宋" w:hAnsi="仿宋" w:eastAsia="仿宋" w:cs="仿宋"/>
          <w:b/>
          <w:bCs/>
          <w:spacing w:val="3"/>
          <w:sz w:val="28"/>
          <w:szCs w:val="28"/>
          <w:lang w:val="en-US" w:eastAsia="zh-CN"/>
        </w:rPr>
        <w:t>四</w:t>
      </w:r>
      <w:r>
        <w:rPr>
          <w:rFonts w:hint="eastAsia" w:ascii="仿宋" w:hAnsi="仿宋" w:eastAsia="仿宋" w:cs="仿宋"/>
          <w:b/>
          <w:bCs/>
          <w:spacing w:val="3"/>
          <w:sz w:val="28"/>
          <w:szCs w:val="28"/>
        </w:rPr>
        <w:t>）学生公寓</w:t>
      </w:r>
      <w:r>
        <w:rPr>
          <w:rFonts w:hint="eastAsia" w:ascii="仿宋" w:hAnsi="仿宋" w:eastAsia="仿宋" w:cs="仿宋"/>
          <w:b/>
          <w:bCs/>
          <w:spacing w:val="3"/>
          <w:sz w:val="28"/>
          <w:szCs w:val="28"/>
          <w:lang w:val="en-US" w:eastAsia="zh-CN"/>
        </w:rPr>
        <w:t>管理</w:t>
      </w:r>
      <w:r>
        <w:rPr>
          <w:rFonts w:hint="eastAsia" w:ascii="仿宋" w:hAnsi="仿宋" w:eastAsia="仿宋" w:cs="仿宋"/>
          <w:b/>
          <w:bCs/>
          <w:spacing w:val="3"/>
          <w:sz w:val="28"/>
          <w:szCs w:val="28"/>
        </w:rPr>
        <w:t>物业服务</w:t>
      </w:r>
      <w:r>
        <w:rPr>
          <w:rFonts w:hint="eastAsia" w:ascii="仿宋" w:hAnsi="仿宋" w:eastAsia="仿宋" w:cs="仿宋"/>
          <w:b/>
          <w:bCs/>
          <w:spacing w:val="6"/>
          <w:sz w:val="28"/>
          <w:szCs w:val="28"/>
          <w:lang w:val="en-US" w:eastAsia="zh-CN"/>
        </w:rPr>
        <w:t>考评</w:t>
      </w:r>
      <w:r>
        <w:rPr>
          <w:rFonts w:hint="eastAsia" w:ascii="仿宋" w:hAnsi="仿宋" w:eastAsia="仿宋" w:cs="仿宋"/>
          <w:b/>
          <w:bCs/>
          <w:spacing w:val="6"/>
          <w:sz w:val="28"/>
          <w:szCs w:val="28"/>
        </w:rPr>
        <w:t>细则</w:t>
      </w:r>
    </w:p>
    <w:p w14:paraId="2F910FFE">
      <w:pPr>
        <w:pageBreakBefore w:val="0"/>
        <w:kinsoku/>
        <w:wordWrap/>
        <w:overflowPunct/>
        <w:topLinePunct w:val="0"/>
        <w:bidi w:val="0"/>
        <w:spacing w:line="157" w:lineRule="exact"/>
        <w:ind w:left="0" w:leftChars="0" w:right="0"/>
        <w:jc w:val="both"/>
        <w:rPr>
          <w:rFonts w:hint="eastAsia" w:ascii="仿宋" w:hAnsi="仿宋" w:eastAsia="仿宋" w:cs="仿宋"/>
          <w:sz w:val="28"/>
          <w:szCs w:val="28"/>
        </w:rPr>
      </w:pPr>
    </w:p>
    <w:tbl>
      <w:tblPr>
        <w:tblStyle w:val="53"/>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743"/>
        <w:gridCol w:w="4886"/>
        <w:gridCol w:w="2700"/>
        <w:gridCol w:w="609"/>
      </w:tblGrid>
      <w:tr w14:paraId="622C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72F7FEB">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项目</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94367AF">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序号</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4420024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考核内容</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004F664">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扣除分值</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4DD6265">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扣分</w:t>
            </w:r>
          </w:p>
        </w:tc>
      </w:tr>
      <w:tr w14:paraId="2507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14:paraId="2004AD24">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行为</w:t>
            </w:r>
            <w:r>
              <w:rPr>
                <w:rStyle w:val="267"/>
                <w:rFonts w:hint="eastAsia" w:ascii="仿宋" w:hAnsi="仿宋" w:eastAsia="仿宋" w:cs="仿宋"/>
                <w:b w:val="0"/>
                <w:bCs w:val="0"/>
                <w:sz w:val="24"/>
                <w:szCs w:val="24"/>
                <w:lang w:val="en-US" w:eastAsia="zh-CN" w:bidi="ar"/>
              </w:rPr>
              <w:t>规范</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262D7E68">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8AF0C3B">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7"/>
                <w:sz w:val="24"/>
                <w:szCs w:val="24"/>
                <w:lang w:val="en-US" w:eastAsia="zh-CN"/>
              </w:rPr>
              <w:t>工作时间</w:t>
            </w:r>
            <w:r>
              <w:rPr>
                <w:rFonts w:hint="eastAsia" w:ascii="仿宋" w:hAnsi="仿宋" w:eastAsia="仿宋" w:cs="仿宋"/>
                <w:b w:val="0"/>
                <w:bCs w:val="0"/>
                <w:snapToGrid w:val="0"/>
                <w:color w:val="000000"/>
                <w:spacing w:val="7"/>
                <w:sz w:val="24"/>
                <w:szCs w:val="24"/>
              </w:rPr>
              <w:t>按规定统一着装</w:t>
            </w:r>
            <w:r>
              <w:rPr>
                <w:rFonts w:hint="eastAsia" w:ascii="仿宋" w:hAnsi="仿宋" w:eastAsia="仿宋" w:cs="仿宋"/>
                <w:b w:val="0"/>
                <w:bCs w:val="0"/>
                <w:snapToGrid w:val="0"/>
                <w:color w:val="000000"/>
                <w:spacing w:val="7"/>
                <w:sz w:val="24"/>
                <w:szCs w:val="24"/>
                <w:lang w:eastAsia="zh-CN"/>
              </w:rPr>
              <w:t>，</w:t>
            </w:r>
            <w:r>
              <w:rPr>
                <w:rFonts w:hint="eastAsia" w:ascii="仿宋" w:hAnsi="仿宋" w:eastAsia="仿宋" w:cs="仿宋"/>
                <w:b w:val="0"/>
                <w:bCs w:val="0"/>
                <w:snapToGrid w:val="0"/>
                <w:color w:val="000000"/>
                <w:spacing w:val="7"/>
                <w:sz w:val="24"/>
                <w:szCs w:val="24"/>
                <w:lang w:val="en-US" w:eastAsia="zh-CN"/>
              </w:rPr>
              <w:t>佩戴工牌。</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041DA8E">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72FE9EE8">
            <w:pPr>
              <w:jc w:val="both"/>
              <w:rPr>
                <w:rFonts w:hint="eastAsia" w:ascii="仿宋" w:hAnsi="仿宋" w:eastAsia="仿宋" w:cs="仿宋"/>
                <w:b w:val="0"/>
                <w:bCs w:val="0"/>
                <w:i w:val="0"/>
                <w:iCs w:val="0"/>
                <w:color w:val="000000"/>
                <w:sz w:val="24"/>
                <w:szCs w:val="24"/>
                <w:u w:val="none"/>
              </w:rPr>
            </w:pPr>
          </w:p>
        </w:tc>
      </w:tr>
      <w:tr w14:paraId="47B4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6F3D0C25">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A64EF39">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36EBCA76">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使用文明用语；态度端正，</w:t>
            </w:r>
            <w:r>
              <w:rPr>
                <w:rStyle w:val="253"/>
                <w:rFonts w:hint="eastAsia" w:ascii="仿宋" w:hAnsi="仿宋" w:eastAsia="仿宋" w:cs="仿宋"/>
                <w:b w:val="0"/>
                <w:bCs w:val="0"/>
                <w:sz w:val="24"/>
                <w:szCs w:val="24"/>
                <w:lang w:val="en-US" w:eastAsia="zh-CN" w:bidi="ar"/>
              </w:rPr>
              <w:t>服从工作安排。</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20A8FBE">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17A52F7">
            <w:pPr>
              <w:jc w:val="both"/>
              <w:rPr>
                <w:rFonts w:hint="eastAsia" w:ascii="仿宋" w:hAnsi="仿宋" w:eastAsia="仿宋" w:cs="仿宋"/>
                <w:b w:val="0"/>
                <w:bCs w:val="0"/>
                <w:i w:val="0"/>
                <w:iCs w:val="0"/>
                <w:color w:val="000000"/>
                <w:sz w:val="24"/>
                <w:szCs w:val="24"/>
                <w:u w:val="none"/>
              </w:rPr>
            </w:pPr>
          </w:p>
        </w:tc>
      </w:tr>
      <w:tr w14:paraId="0C90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47543B0E">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5B07C6A1">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A3E1EF5">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Style w:val="253"/>
                <w:rFonts w:hint="eastAsia" w:ascii="仿宋" w:hAnsi="仿宋" w:eastAsia="仿宋" w:cs="仿宋"/>
                <w:b w:val="0"/>
                <w:bCs w:val="0"/>
                <w:sz w:val="24"/>
                <w:szCs w:val="24"/>
                <w:lang w:val="en-US" w:eastAsia="zh-CN" w:bidi="ar"/>
              </w:rPr>
              <w:t>工作时间不干私事，值班室内不烹饪、不煮饭等，</w:t>
            </w:r>
            <w:r>
              <w:rPr>
                <w:rFonts w:hint="eastAsia" w:ascii="仿宋" w:hAnsi="仿宋" w:eastAsia="仿宋" w:cs="仿宋"/>
                <w:b w:val="0"/>
                <w:bCs w:val="0"/>
                <w:i w:val="0"/>
                <w:iCs w:val="0"/>
                <w:color w:val="000000"/>
                <w:kern w:val="0"/>
                <w:sz w:val="24"/>
                <w:szCs w:val="24"/>
                <w:u w:val="none"/>
                <w:lang w:val="en-US" w:eastAsia="zh-CN" w:bidi="ar"/>
              </w:rPr>
              <w:t>岗位上不吸烟、不</w:t>
            </w:r>
            <w:r>
              <w:rPr>
                <w:rStyle w:val="253"/>
                <w:rFonts w:hint="eastAsia" w:ascii="仿宋" w:hAnsi="仿宋" w:eastAsia="仿宋" w:cs="仿宋"/>
                <w:b w:val="0"/>
                <w:bCs w:val="0"/>
                <w:sz w:val="24"/>
                <w:szCs w:val="24"/>
                <w:lang w:val="en-US" w:eastAsia="zh-CN" w:bidi="ar"/>
              </w:rPr>
              <w:t>吃零食、不看书报、不会客、不玩手机、不听收（录）音机，不嬉戏、不打闹等影响工作的现象。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1CB448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258E518F">
            <w:pPr>
              <w:jc w:val="both"/>
              <w:rPr>
                <w:rFonts w:hint="eastAsia" w:ascii="仿宋" w:hAnsi="仿宋" w:eastAsia="仿宋" w:cs="仿宋"/>
                <w:b w:val="0"/>
                <w:bCs w:val="0"/>
                <w:i w:val="0"/>
                <w:iCs w:val="0"/>
                <w:color w:val="000000"/>
                <w:sz w:val="24"/>
                <w:szCs w:val="24"/>
                <w:u w:val="none"/>
              </w:rPr>
            </w:pPr>
          </w:p>
        </w:tc>
      </w:tr>
      <w:tr w14:paraId="19BD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6F21010E">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46B0E7">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1EB40C04">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Style w:val="253"/>
                <w:rFonts w:hint="eastAsia" w:ascii="仿宋" w:hAnsi="仿宋" w:eastAsia="仿宋" w:cs="仿宋"/>
                <w:b w:val="0"/>
                <w:bCs w:val="0"/>
                <w:color w:val="auto"/>
                <w:sz w:val="24"/>
                <w:szCs w:val="24"/>
                <w:lang w:val="en-US" w:eastAsia="zh-CN" w:bidi="ar"/>
              </w:rPr>
              <w:t>每日检查公共设施设备，出现故障及时报修，并做好记录，杜绝影响正常教学运行的情况发生。</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0A03E7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DE19DB6">
            <w:pPr>
              <w:jc w:val="both"/>
              <w:rPr>
                <w:rFonts w:hint="eastAsia" w:ascii="仿宋" w:hAnsi="仿宋" w:eastAsia="仿宋" w:cs="仿宋"/>
                <w:b w:val="0"/>
                <w:bCs w:val="0"/>
                <w:i w:val="0"/>
                <w:iCs w:val="0"/>
                <w:color w:val="000000"/>
                <w:sz w:val="24"/>
                <w:szCs w:val="24"/>
                <w:u w:val="none"/>
              </w:rPr>
            </w:pPr>
          </w:p>
        </w:tc>
      </w:tr>
      <w:tr w14:paraId="7F86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auto" w:sz="4" w:space="0"/>
              <w:left w:val="single" w:color="auto" w:sz="4" w:space="0"/>
              <w:bottom w:val="single" w:color="000000" w:sz="4" w:space="0"/>
              <w:right w:val="single" w:color="auto" w:sz="4" w:space="0"/>
            </w:tcBorders>
            <w:noWrap w:val="0"/>
            <w:vAlign w:val="center"/>
          </w:tcPr>
          <w:p w14:paraId="694098DB">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630134BC">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5709C5F0">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门卫实行24小时值守制；女生楼门卫、保洁需用女员工。</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7D0CA19">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5DAECA6">
            <w:pPr>
              <w:jc w:val="both"/>
              <w:rPr>
                <w:rFonts w:hint="eastAsia" w:ascii="仿宋" w:hAnsi="仿宋" w:eastAsia="仿宋" w:cs="仿宋"/>
                <w:b w:val="0"/>
                <w:bCs w:val="0"/>
                <w:i w:val="0"/>
                <w:iCs w:val="0"/>
                <w:color w:val="000000"/>
                <w:sz w:val="24"/>
                <w:szCs w:val="24"/>
                <w:u w:val="none"/>
              </w:rPr>
            </w:pPr>
          </w:p>
        </w:tc>
      </w:tr>
      <w:tr w14:paraId="7D81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000000" w:sz="4" w:space="0"/>
              <w:left w:val="single" w:color="auto" w:sz="4" w:space="0"/>
              <w:bottom w:val="single" w:color="000000" w:sz="4" w:space="0"/>
              <w:right w:val="single" w:color="auto" w:sz="4" w:space="0"/>
            </w:tcBorders>
            <w:noWrap w:val="0"/>
            <w:vAlign w:val="center"/>
          </w:tcPr>
          <w:p w14:paraId="352815E5">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AEB250A">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1605B8A5">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不迟到、不</w:t>
            </w:r>
            <w:r>
              <w:rPr>
                <w:rStyle w:val="253"/>
                <w:rFonts w:hint="eastAsia" w:ascii="仿宋" w:hAnsi="仿宋" w:eastAsia="仿宋" w:cs="仿宋"/>
                <w:b w:val="0"/>
                <w:bCs w:val="0"/>
                <w:color w:val="auto"/>
                <w:sz w:val="24"/>
                <w:szCs w:val="24"/>
                <w:lang w:val="en-US" w:eastAsia="zh-CN" w:bidi="ar"/>
              </w:rPr>
              <w:t>早退、交接班工作交接清晰；不</w:t>
            </w:r>
            <w:r>
              <w:rPr>
                <w:rFonts w:hint="eastAsia" w:ascii="仿宋" w:hAnsi="仿宋" w:eastAsia="仿宋" w:cs="仿宋"/>
                <w:b w:val="0"/>
                <w:bCs w:val="0"/>
                <w:i w:val="0"/>
                <w:iCs w:val="0"/>
                <w:color w:val="auto"/>
                <w:kern w:val="0"/>
                <w:sz w:val="24"/>
                <w:szCs w:val="24"/>
                <w:u w:val="none"/>
                <w:lang w:val="en-US" w:eastAsia="zh-CN" w:bidi="ar"/>
              </w:rPr>
              <w:t>无故旷工，按规定请假</w:t>
            </w:r>
            <w:r>
              <w:rPr>
                <w:rStyle w:val="253"/>
                <w:rFonts w:hint="eastAsia" w:ascii="仿宋" w:hAnsi="仿宋" w:eastAsia="仿宋" w:cs="仿宋"/>
                <w:b w:val="0"/>
                <w:bCs w:val="0"/>
                <w:color w:val="auto"/>
                <w:sz w:val="24"/>
                <w:szCs w:val="24"/>
                <w:lang w:val="en-US" w:eastAsia="zh-CN" w:bidi="ar"/>
              </w:rPr>
              <w:t>。</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B30BD9D">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每人每次扣2分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7A5FE7DA">
            <w:pPr>
              <w:jc w:val="both"/>
              <w:rPr>
                <w:rFonts w:hint="eastAsia" w:ascii="仿宋" w:hAnsi="仿宋" w:eastAsia="仿宋" w:cs="仿宋"/>
                <w:b w:val="0"/>
                <w:bCs w:val="0"/>
                <w:i w:val="0"/>
                <w:iCs w:val="0"/>
                <w:color w:val="000000"/>
                <w:sz w:val="24"/>
                <w:szCs w:val="24"/>
                <w:u w:val="none"/>
              </w:rPr>
            </w:pPr>
          </w:p>
        </w:tc>
      </w:tr>
      <w:tr w14:paraId="7069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000000" w:sz="4" w:space="0"/>
              <w:left w:val="single" w:color="auto" w:sz="4" w:space="0"/>
              <w:bottom w:val="single" w:color="000000" w:sz="4" w:space="0"/>
              <w:right w:val="single" w:color="auto" w:sz="4" w:space="0"/>
            </w:tcBorders>
            <w:noWrap w:val="0"/>
            <w:vAlign w:val="center"/>
          </w:tcPr>
          <w:p w14:paraId="0131F059">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2C218E4F">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7</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564B966D">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不与同事或师生发生言语冲突、</w:t>
            </w:r>
            <w:r>
              <w:rPr>
                <w:rStyle w:val="253"/>
                <w:rFonts w:hint="eastAsia" w:ascii="仿宋" w:hAnsi="仿宋" w:eastAsia="仿宋" w:cs="仿宋"/>
                <w:b w:val="0"/>
                <w:bCs w:val="0"/>
                <w:color w:val="auto"/>
                <w:sz w:val="24"/>
                <w:szCs w:val="24"/>
                <w:lang w:val="en-US" w:eastAsia="zh-CN" w:bidi="ar"/>
              </w:rPr>
              <w:t>肢体冲突。</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1369AA6">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每人每次扣2分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7CCCA33">
            <w:pPr>
              <w:jc w:val="both"/>
              <w:rPr>
                <w:rFonts w:hint="eastAsia" w:ascii="仿宋" w:hAnsi="仿宋" w:eastAsia="仿宋" w:cs="仿宋"/>
                <w:b w:val="0"/>
                <w:bCs w:val="0"/>
                <w:i w:val="0"/>
                <w:iCs w:val="0"/>
                <w:color w:val="000000"/>
                <w:sz w:val="24"/>
                <w:szCs w:val="24"/>
                <w:u w:val="none"/>
              </w:rPr>
            </w:pPr>
          </w:p>
        </w:tc>
      </w:tr>
      <w:tr w14:paraId="5A87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top w:val="single" w:color="000000" w:sz="4" w:space="0"/>
              <w:left w:val="single" w:color="auto" w:sz="4" w:space="0"/>
              <w:bottom w:val="single" w:color="000000" w:sz="4" w:space="0"/>
              <w:right w:val="single" w:color="auto" w:sz="4" w:space="0"/>
            </w:tcBorders>
            <w:noWrap w:val="0"/>
            <w:vAlign w:val="center"/>
          </w:tcPr>
          <w:p w14:paraId="0581F863">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60C8BB5">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01634D08">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员工无违法、无</w:t>
            </w:r>
            <w:r>
              <w:rPr>
                <w:rStyle w:val="253"/>
                <w:rFonts w:hint="eastAsia" w:ascii="仿宋" w:hAnsi="仿宋" w:eastAsia="仿宋" w:cs="仿宋"/>
                <w:b w:val="0"/>
                <w:bCs w:val="0"/>
                <w:color w:val="auto"/>
                <w:sz w:val="24"/>
                <w:szCs w:val="24"/>
                <w:lang w:val="en-US" w:eastAsia="zh-CN" w:bidi="ar"/>
              </w:rPr>
              <w:t>违规、无违纪行为。</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B221ACC">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每人每次扣5-10</w:t>
            </w:r>
            <w:r>
              <w:rPr>
                <w:rStyle w:val="253"/>
                <w:rFonts w:hint="eastAsia" w:ascii="仿宋" w:hAnsi="仿宋" w:eastAsia="仿宋" w:cs="仿宋"/>
                <w:b w:val="0"/>
                <w:bCs w:val="0"/>
                <w:sz w:val="24"/>
                <w:szCs w:val="24"/>
                <w:lang w:val="en-US" w:eastAsia="zh-CN" w:bidi="ar"/>
              </w:rPr>
              <w:t>分，并辞退相关员工</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0C0662F9">
            <w:pPr>
              <w:jc w:val="both"/>
              <w:rPr>
                <w:rFonts w:hint="eastAsia" w:ascii="仿宋" w:hAnsi="仿宋" w:eastAsia="仿宋" w:cs="仿宋"/>
                <w:b w:val="0"/>
                <w:bCs w:val="0"/>
                <w:i w:val="0"/>
                <w:iCs w:val="0"/>
                <w:color w:val="000000"/>
                <w:sz w:val="24"/>
                <w:szCs w:val="24"/>
                <w:u w:val="none"/>
              </w:rPr>
            </w:pPr>
          </w:p>
        </w:tc>
      </w:tr>
      <w:tr w14:paraId="18B9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restart"/>
            <w:tcBorders>
              <w:top w:val="single" w:color="000000" w:sz="4" w:space="0"/>
              <w:left w:val="single" w:color="000000" w:sz="4" w:space="0"/>
              <w:right w:val="single" w:color="auto" w:sz="4" w:space="0"/>
            </w:tcBorders>
            <w:noWrap/>
            <w:vAlign w:val="center"/>
          </w:tcPr>
          <w:p w14:paraId="161D2D67">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楼宇值班</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0B2F903">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1DA3D513">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大厅、值班室、会客室</w:t>
            </w:r>
            <w:r>
              <w:rPr>
                <w:rStyle w:val="253"/>
                <w:rFonts w:hint="eastAsia" w:ascii="仿宋" w:hAnsi="仿宋" w:eastAsia="仿宋" w:cs="仿宋"/>
                <w:b w:val="0"/>
                <w:bCs w:val="0"/>
                <w:color w:val="auto"/>
                <w:sz w:val="24"/>
                <w:szCs w:val="24"/>
                <w:lang w:val="en-US" w:eastAsia="zh-CN" w:bidi="ar"/>
              </w:rPr>
              <w:t>卫生合格；</w:t>
            </w:r>
            <w:r>
              <w:rPr>
                <w:rFonts w:hint="eastAsia" w:ascii="仿宋" w:hAnsi="仿宋" w:eastAsia="仿宋" w:cs="仿宋"/>
                <w:b w:val="0"/>
                <w:bCs w:val="0"/>
                <w:i w:val="0"/>
                <w:iCs w:val="0"/>
                <w:color w:val="auto"/>
                <w:kern w:val="0"/>
                <w:sz w:val="24"/>
                <w:szCs w:val="24"/>
                <w:u w:val="none"/>
                <w:lang w:val="en-US" w:eastAsia="zh-CN" w:bidi="ar"/>
              </w:rPr>
              <w:t>家具、值班桌上物品摆干净整洁、有序。</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B73F89C">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每次每项扣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4B8C38E">
            <w:pPr>
              <w:jc w:val="both"/>
              <w:rPr>
                <w:rFonts w:hint="eastAsia" w:ascii="仿宋" w:hAnsi="仿宋" w:eastAsia="仿宋" w:cs="仿宋"/>
                <w:b w:val="0"/>
                <w:bCs w:val="0"/>
                <w:i w:val="0"/>
                <w:iCs w:val="0"/>
                <w:color w:val="000000"/>
                <w:sz w:val="24"/>
                <w:szCs w:val="24"/>
                <w:u w:val="none"/>
              </w:rPr>
            </w:pPr>
          </w:p>
        </w:tc>
      </w:tr>
      <w:tr w14:paraId="3CED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1BED2CE6">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8A60257">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249BCB21">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学生公寓钥匙柜钥匙按规定标识清晰、摆放整齐，不允许私放个人物品；</w:t>
            </w:r>
            <w:r>
              <w:rPr>
                <w:rFonts w:hint="eastAsia" w:ascii="仿宋" w:hAnsi="仿宋" w:eastAsia="仿宋" w:cs="仿宋"/>
                <w:snapToGrid w:val="0"/>
                <w:color w:val="000000"/>
                <w:sz w:val="24"/>
                <w:szCs w:val="24"/>
                <w:lang w:val="en-US" w:eastAsia="zh-CN"/>
              </w:rPr>
              <w:t>确保钥匙不缺失且正常使用；值班工作人员要熟悉并熟练使用。</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4287AEE">
            <w:pPr>
              <w:keepNext w:val="0"/>
              <w:keepLines w:val="0"/>
              <w:widowControl/>
              <w:suppressLineNumbers w:val="0"/>
              <w:jc w:val="both"/>
              <w:textAlignment w:val="top"/>
              <w:rPr>
                <w:rFonts w:hint="eastAsia" w:ascii="仿宋" w:hAnsi="仿宋" w:eastAsia="仿宋" w:cs="仿宋"/>
                <w:b w:val="0"/>
                <w:bCs w:val="0"/>
                <w:snapToGrid w:val="0"/>
                <w:color w:val="000000"/>
                <w:spacing w:val="4"/>
                <w:sz w:val="24"/>
                <w:szCs w:val="24"/>
                <w:lang w:val="en-US" w:eastAsia="zh-CN"/>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每次每项扣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F9E6218">
            <w:pPr>
              <w:jc w:val="both"/>
              <w:rPr>
                <w:rFonts w:hint="eastAsia" w:ascii="仿宋" w:hAnsi="仿宋" w:eastAsia="仿宋" w:cs="仿宋"/>
                <w:b w:val="0"/>
                <w:bCs w:val="0"/>
                <w:i w:val="0"/>
                <w:iCs w:val="0"/>
                <w:color w:val="000000"/>
                <w:sz w:val="24"/>
                <w:szCs w:val="24"/>
                <w:u w:val="none"/>
              </w:rPr>
            </w:pPr>
          </w:p>
        </w:tc>
      </w:tr>
      <w:tr w14:paraId="022E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68F500BE">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F445323">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11</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0CE10CBC">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大件物品登记本、人员来访登记本、交接班记录本、报修登记本等记录本，记录清晰完整，有</w:t>
            </w:r>
            <w:r>
              <w:rPr>
                <w:rStyle w:val="253"/>
                <w:rFonts w:hint="eastAsia" w:ascii="仿宋" w:hAnsi="仿宋" w:eastAsia="仿宋" w:cs="仿宋"/>
                <w:b w:val="0"/>
                <w:bCs w:val="0"/>
                <w:color w:val="auto"/>
                <w:sz w:val="24"/>
                <w:szCs w:val="24"/>
                <w:lang w:val="en-US" w:eastAsia="zh-CN" w:bidi="ar"/>
              </w:rPr>
              <w:t>管理主管签阅意见。</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4128F09">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0A41A7E">
            <w:pPr>
              <w:jc w:val="both"/>
              <w:rPr>
                <w:rFonts w:hint="eastAsia" w:ascii="仿宋" w:hAnsi="仿宋" w:eastAsia="仿宋" w:cs="仿宋"/>
                <w:b w:val="0"/>
                <w:bCs w:val="0"/>
                <w:i w:val="0"/>
                <w:iCs w:val="0"/>
                <w:color w:val="000000"/>
                <w:sz w:val="24"/>
                <w:szCs w:val="24"/>
                <w:u w:val="none"/>
              </w:rPr>
            </w:pPr>
          </w:p>
        </w:tc>
      </w:tr>
      <w:tr w14:paraId="2808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0CF5BCE2">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5E228C2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12</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5625090B">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按时巡楼、</w:t>
            </w:r>
            <w:r>
              <w:rPr>
                <w:rStyle w:val="253"/>
                <w:rFonts w:hint="eastAsia" w:ascii="仿宋" w:hAnsi="仿宋" w:eastAsia="仿宋" w:cs="仿宋"/>
                <w:b w:val="0"/>
                <w:bCs w:val="0"/>
                <w:color w:val="auto"/>
                <w:sz w:val="24"/>
                <w:szCs w:val="24"/>
                <w:lang w:val="en-US" w:eastAsia="zh-CN" w:bidi="ar"/>
              </w:rPr>
              <w:t>对安全隐患及时上报。</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300926D">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B247F60">
            <w:pPr>
              <w:jc w:val="both"/>
              <w:rPr>
                <w:rFonts w:hint="eastAsia" w:ascii="仿宋" w:hAnsi="仿宋" w:eastAsia="仿宋" w:cs="仿宋"/>
                <w:b w:val="0"/>
                <w:bCs w:val="0"/>
                <w:i w:val="0"/>
                <w:iCs w:val="0"/>
                <w:color w:val="000000"/>
                <w:sz w:val="24"/>
                <w:szCs w:val="24"/>
                <w:u w:val="none"/>
              </w:rPr>
            </w:pPr>
          </w:p>
        </w:tc>
      </w:tr>
      <w:tr w14:paraId="3FD1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383AD2C8">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3A6C7866">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13</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AB0B1B4">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不脱岗、不</w:t>
            </w:r>
            <w:r>
              <w:rPr>
                <w:rStyle w:val="253"/>
                <w:rFonts w:hint="eastAsia" w:ascii="仿宋" w:hAnsi="仿宋" w:eastAsia="仿宋" w:cs="仿宋"/>
                <w:b w:val="0"/>
                <w:bCs w:val="0"/>
                <w:color w:val="auto"/>
                <w:sz w:val="24"/>
                <w:szCs w:val="24"/>
                <w:lang w:val="en-US" w:eastAsia="zh-CN" w:bidi="ar"/>
              </w:rPr>
              <w:t>串岗、不睡岗。</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B89055A">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4661380">
            <w:pPr>
              <w:jc w:val="both"/>
              <w:rPr>
                <w:rFonts w:hint="eastAsia" w:ascii="仿宋" w:hAnsi="仿宋" w:eastAsia="仿宋" w:cs="仿宋"/>
                <w:b w:val="0"/>
                <w:bCs w:val="0"/>
                <w:i w:val="0"/>
                <w:iCs w:val="0"/>
                <w:color w:val="000000"/>
                <w:sz w:val="24"/>
                <w:szCs w:val="24"/>
                <w:u w:val="none"/>
              </w:rPr>
            </w:pPr>
          </w:p>
        </w:tc>
      </w:tr>
      <w:tr w14:paraId="0193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540F1FF5">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6FA1E989">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14</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1F38511">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消防安全措施执行到位。</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97CF271">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7116411">
            <w:pPr>
              <w:jc w:val="both"/>
              <w:rPr>
                <w:rFonts w:hint="eastAsia" w:ascii="仿宋" w:hAnsi="仿宋" w:eastAsia="仿宋" w:cs="仿宋"/>
                <w:b w:val="0"/>
                <w:bCs w:val="0"/>
                <w:i w:val="0"/>
                <w:iCs w:val="0"/>
                <w:color w:val="000000"/>
                <w:sz w:val="24"/>
                <w:szCs w:val="24"/>
                <w:u w:val="none"/>
              </w:rPr>
            </w:pPr>
          </w:p>
        </w:tc>
      </w:tr>
      <w:tr w14:paraId="3500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58DEC286">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1BA29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15</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4C14B4C0">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消防通道畅通，及时清理，指挥、引导公寓出入口附近自行车整齐有序停放。</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DDFBE5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117D91F">
            <w:pPr>
              <w:jc w:val="both"/>
              <w:rPr>
                <w:rFonts w:hint="eastAsia" w:ascii="仿宋" w:hAnsi="仿宋" w:eastAsia="仿宋" w:cs="仿宋"/>
                <w:b w:val="0"/>
                <w:bCs w:val="0"/>
                <w:i w:val="0"/>
                <w:iCs w:val="0"/>
                <w:color w:val="000000"/>
                <w:sz w:val="24"/>
                <w:szCs w:val="24"/>
                <w:u w:val="none"/>
              </w:rPr>
            </w:pPr>
          </w:p>
        </w:tc>
      </w:tr>
      <w:tr w14:paraId="1A1E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bottom w:val="single" w:color="000000" w:sz="4" w:space="0"/>
              <w:right w:val="single" w:color="auto" w:sz="4" w:space="0"/>
            </w:tcBorders>
            <w:noWrap/>
            <w:vAlign w:val="center"/>
          </w:tcPr>
          <w:p w14:paraId="52733E9E">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135B46E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16</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4090877E">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安全警示标识缺失，及时更换。</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82AD09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1F62791">
            <w:pPr>
              <w:jc w:val="both"/>
              <w:rPr>
                <w:rFonts w:hint="eastAsia" w:ascii="仿宋" w:hAnsi="仿宋" w:eastAsia="仿宋" w:cs="仿宋"/>
                <w:b w:val="0"/>
                <w:bCs w:val="0"/>
                <w:i w:val="0"/>
                <w:iCs w:val="0"/>
                <w:color w:val="000000"/>
                <w:sz w:val="24"/>
                <w:szCs w:val="24"/>
                <w:u w:val="none"/>
              </w:rPr>
            </w:pPr>
          </w:p>
        </w:tc>
      </w:tr>
      <w:tr w14:paraId="456B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restart"/>
            <w:tcBorders>
              <w:top w:val="single" w:color="000000" w:sz="4" w:space="0"/>
              <w:left w:val="single" w:color="000000" w:sz="4" w:space="0"/>
              <w:right w:val="single" w:color="auto" w:sz="4" w:space="0"/>
            </w:tcBorders>
            <w:noWrap/>
            <w:vAlign w:val="center"/>
          </w:tcPr>
          <w:p w14:paraId="296E909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公寓保洁</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E7DCD6">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B5C8157">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工具未收纳于指定区域，摆放杂乱。</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4F1DD68">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5DCDCD40">
            <w:pPr>
              <w:jc w:val="both"/>
              <w:rPr>
                <w:rFonts w:hint="eastAsia" w:ascii="仿宋" w:hAnsi="仿宋" w:eastAsia="仿宋" w:cs="仿宋"/>
                <w:b w:val="0"/>
                <w:bCs w:val="0"/>
                <w:i w:val="0"/>
                <w:iCs w:val="0"/>
                <w:color w:val="000000"/>
                <w:sz w:val="24"/>
                <w:szCs w:val="24"/>
                <w:u w:val="none"/>
              </w:rPr>
            </w:pPr>
          </w:p>
        </w:tc>
      </w:tr>
      <w:tr w14:paraId="5E0D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7927D887">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16D7EA65">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18</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068DAB1B">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工作时间不拣拾废品。</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0896E6E">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5BCC9F1">
            <w:pPr>
              <w:jc w:val="both"/>
              <w:rPr>
                <w:rFonts w:hint="eastAsia" w:ascii="仿宋" w:hAnsi="仿宋" w:eastAsia="仿宋" w:cs="仿宋"/>
                <w:b w:val="0"/>
                <w:bCs w:val="0"/>
                <w:i w:val="0"/>
                <w:iCs w:val="0"/>
                <w:color w:val="000000"/>
                <w:sz w:val="24"/>
                <w:szCs w:val="24"/>
                <w:u w:val="none"/>
              </w:rPr>
            </w:pPr>
          </w:p>
        </w:tc>
      </w:tr>
      <w:tr w14:paraId="1EFA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ign w:val="center"/>
          </w:tcPr>
          <w:p w14:paraId="70123B34">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EAA0602">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19</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63EB22B">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做岗位卫生保洁。</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149965F">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每人每次扣2分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BBCF1CF">
            <w:pPr>
              <w:jc w:val="both"/>
              <w:rPr>
                <w:rFonts w:hint="eastAsia" w:ascii="仿宋" w:hAnsi="仿宋" w:eastAsia="仿宋" w:cs="仿宋"/>
                <w:b w:val="0"/>
                <w:bCs w:val="0"/>
                <w:i w:val="0"/>
                <w:iCs w:val="0"/>
                <w:color w:val="000000"/>
                <w:sz w:val="24"/>
                <w:szCs w:val="24"/>
                <w:u w:val="none"/>
              </w:rPr>
            </w:pPr>
          </w:p>
        </w:tc>
      </w:tr>
      <w:tr w14:paraId="7889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71E4B798">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2BA40987">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20</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50B26DF6">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按规定时间清扫和清运垃圾。</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BE406DB">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BCCCD5B">
            <w:pPr>
              <w:jc w:val="both"/>
              <w:rPr>
                <w:rFonts w:hint="eastAsia" w:ascii="仿宋" w:hAnsi="仿宋" w:eastAsia="仿宋" w:cs="仿宋"/>
                <w:b w:val="0"/>
                <w:bCs w:val="0"/>
                <w:i w:val="0"/>
                <w:iCs w:val="0"/>
                <w:color w:val="000000"/>
                <w:sz w:val="24"/>
                <w:szCs w:val="24"/>
                <w:u w:val="none"/>
              </w:rPr>
            </w:pPr>
          </w:p>
        </w:tc>
      </w:tr>
      <w:tr w14:paraId="4839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4D9D18F0">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57B1F5A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21</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EBDE90B">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室外垃圾桶分类；垃圾桶</w:t>
            </w:r>
            <w:r>
              <w:rPr>
                <w:rStyle w:val="285"/>
                <w:rFonts w:hint="eastAsia" w:ascii="仿宋" w:hAnsi="仿宋" w:eastAsia="仿宋" w:cs="仿宋"/>
                <w:b w:val="0"/>
                <w:bCs w:val="0"/>
                <w:color w:val="auto"/>
                <w:sz w:val="24"/>
                <w:szCs w:val="24"/>
                <w:lang w:val="en-US" w:eastAsia="zh-CN" w:bidi="ar"/>
              </w:rPr>
              <w:t>整洁或无异味；</w:t>
            </w:r>
            <w:r>
              <w:rPr>
                <w:rFonts w:hint="eastAsia" w:ascii="仿宋" w:hAnsi="仿宋" w:eastAsia="仿宋" w:cs="仿宋"/>
                <w:b w:val="0"/>
                <w:bCs w:val="0"/>
                <w:i w:val="0"/>
                <w:iCs w:val="0"/>
                <w:color w:val="auto"/>
                <w:kern w:val="0"/>
                <w:sz w:val="24"/>
                <w:szCs w:val="24"/>
                <w:u w:val="none"/>
                <w:lang w:val="en-US" w:eastAsia="zh-CN" w:bidi="ar"/>
              </w:rPr>
              <w:t>每周清洗2次。</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F4EF81B">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每次每个扣1分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02F180FA">
            <w:pPr>
              <w:jc w:val="both"/>
              <w:rPr>
                <w:rFonts w:hint="eastAsia" w:ascii="仿宋" w:hAnsi="仿宋" w:eastAsia="仿宋" w:cs="仿宋"/>
                <w:b w:val="0"/>
                <w:bCs w:val="0"/>
                <w:i w:val="0"/>
                <w:iCs w:val="0"/>
                <w:color w:val="000000"/>
                <w:sz w:val="24"/>
                <w:szCs w:val="24"/>
                <w:u w:val="none"/>
              </w:rPr>
            </w:pPr>
          </w:p>
        </w:tc>
      </w:tr>
      <w:tr w14:paraId="76F0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31A382B9">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0660342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22</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22CB018D">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室内墙壁及附着设施上无尘土、无</w:t>
            </w:r>
            <w:r>
              <w:rPr>
                <w:rStyle w:val="285"/>
                <w:rFonts w:hint="eastAsia" w:ascii="仿宋" w:hAnsi="仿宋" w:eastAsia="仿宋" w:cs="仿宋"/>
                <w:b w:val="0"/>
                <w:bCs w:val="0"/>
                <w:color w:val="auto"/>
                <w:sz w:val="24"/>
                <w:szCs w:val="24"/>
                <w:lang w:val="en-US" w:eastAsia="zh-CN" w:bidi="ar"/>
              </w:rPr>
              <w:t>虫网；步梯</w:t>
            </w:r>
            <w:r>
              <w:rPr>
                <w:rFonts w:hint="eastAsia" w:ascii="仿宋" w:hAnsi="仿宋" w:eastAsia="仿宋" w:cs="仿宋"/>
                <w:b w:val="0"/>
                <w:bCs w:val="0"/>
                <w:i w:val="0"/>
                <w:iCs w:val="0"/>
                <w:color w:val="auto"/>
                <w:kern w:val="0"/>
                <w:sz w:val="24"/>
                <w:szCs w:val="24"/>
                <w:u w:val="none"/>
                <w:lang w:val="en-US" w:eastAsia="zh-CN" w:bidi="ar"/>
              </w:rPr>
              <w:t>扶手无尘土、无</w:t>
            </w:r>
            <w:r>
              <w:rPr>
                <w:rStyle w:val="285"/>
                <w:rFonts w:hint="eastAsia" w:ascii="仿宋" w:hAnsi="仿宋" w:eastAsia="仿宋" w:cs="仿宋"/>
                <w:b w:val="0"/>
                <w:bCs w:val="0"/>
                <w:color w:val="auto"/>
                <w:sz w:val="24"/>
                <w:szCs w:val="24"/>
                <w:lang w:val="en-US" w:eastAsia="zh-CN" w:bidi="ar"/>
              </w:rPr>
              <w:t>污迹。</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E6BA417">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每次每个扣1分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4F4AB0A3">
            <w:pPr>
              <w:jc w:val="both"/>
              <w:rPr>
                <w:rFonts w:hint="eastAsia" w:ascii="仿宋" w:hAnsi="仿宋" w:eastAsia="仿宋" w:cs="仿宋"/>
                <w:b w:val="0"/>
                <w:bCs w:val="0"/>
                <w:i w:val="0"/>
                <w:iCs w:val="0"/>
                <w:color w:val="000000"/>
                <w:sz w:val="24"/>
                <w:szCs w:val="24"/>
                <w:u w:val="none"/>
              </w:rPr>
            </w:pPr>
          </w:p>
        </w:tc>
      </w:tr>
      <w:tr w14:paraId="7A80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49C68351">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6831B2DD">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23</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2AD2C000">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楼内不堆放杂物；不私自占用公共空间存放个人物品。</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62383ED">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72EF25D">
            <w:pPr>
              <w:jc w:val="both"/>
              <w:rPr>
                <w:rFonts w:hint="eastAsia" w:ascii="仿宋" w:hAnsi="仿宋" w:eastAsia="仿宋" w:cs="仿宋"/>
                <w:b w:val="0"/>
                <w:bCs w:val="0"/>
                <w:i w:val="0"/>
                <w:iCs w:val="0"/>
                <w:color w:val="000000"/>
                <w:sz w:val="24"/>
                <w:szCs w:val="24"/>
                <w:u w:val="none"/>
              </w:rPr>
            </w:pPr>
          </w:p>
        </w:tc>
      </w:tr>
      <w:tr w14:paraId="0579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58D4461B">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1454ED65">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24</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2A8284BF">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公共区域地面无积水、无</w:t>
            </w:r>
            <w:r>
              <w:rPr>
                <w:rStyle w:val="285"/>
                <w:rFonts w:hint="eastAsia" w:ascii="仿宋" w:hAnsi="仿宋" w:eastAsia="仿宋" w:cs="仿宋"/>
                <w:b w:val="0"/>
                <w:bCs w:val="0"/>
                <w:color w:val="auto"/>
                <w:sz w:val="24"/>
                <w:szCs w:val="24"/>
                <w:lang w:val="en-US" w:eastAsia="zh-CN" w:bidi="ar"/>
              </w:rPr>
              <w:t>痰迹、无污迹等。</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692D29B">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2F51AEE4">
            <w:pPr>
              <w:jc w:val="both"/>
              <w:rPr>
                <w:rFonts w:hint="eastAsia" w:ascii="仿宋" w:hAnsi="仿宋" w:eastAsia="仿宋" w:cs="仿宋"/>
                <w:b w:val="0"/>
                <w:bCs w:val="0"/>
                <w:i w:val="0"/>
                <w:iCs w:val="0"/>
                <w:color w:val="000000"/>
                <w:sz w:val="24"/>
                <w:szCs w:val="24"/>
                <w:u w:val="none"/>
              </w:rPr>
            </w:pPr>
          </w:p>
        </w:tc>
      </w:tr>
      <w:tr w14:paraId="3486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2325A9EF">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D644961">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D3200EB">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公共卫生间无异味，厕坑便具无黄渍，墙面、镜面、台面、水盆光亮、无污点;纸篓清理及时。墙面、天棚、墙角、灯具无积尘、无蜘蛛网;地面无水渍、无污渍、无垃圾。</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FBD729B">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4DB6F85B">
            <w:pPr>
              <w:jc w:val="both"/>
              <w:rPr>
                <w:rFonts w:hint="eastAsia" w:ascii="仿宋" w:hAnsi="仿宋" w:eastAsia="仿宋" w:cs="仿宋"/>
                <w:b w:val="0"/>
                <w:bCs w:val="0"/>
                <w:i w:val="0"/>
                <w:iCs w:val="0"/>
                <w:color w:val="000000"/>
                <w:sz w:val="24"/>
                <w:szCs w:val="24"/>
                <w:u w:val="none"/>
              </w:rPr>
            </w:pPr>
          </w:p>
        </w:tc>
      </w:tr>
      <w:tr w14:paraId="3F37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1716565A">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21DD519">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0D0953DB">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电梯轿厢内无积尘、无污渍、无粘贴物:灯具、指示板明亮:厢内地面无积尘、无污渍、无垃圾杂物:不锈钢表面无手印、无积尘，光亮;电梯门槽内无垃圾杂物。</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BA382D8">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1201432">
            <w:pPr>
              <w:jc w:val="both"/>
              <w:rPr>
                <w:rFonts w:hint="eastAsia" w:ascii="仿宋" w:hAnsi="仿宋" w:eastAsia="仿宋" w:cs="仿宋"/>
                <w:b w:val="0"/>
                <w:bCs w:val="0"/>
                <w:i w:val="0"/>
                <w:iCs w:val="0"/>
                <w:color w:val="000000"/>
                <w:sz w:val="24"/>
                <w:szCs w:val="24"/>
                <w:u w:val="none"/>
              </w:rPr>
            </w:pPr>
          </w:p>
        </w:tc>
      </w:tr>
      <w:tr w14:paraId="6238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422476F5">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12C065FA">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1394498">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屋面、外墙、地下室、天台等可上人屋面保洁标准同硬质地面，其他屋面及雨棚顶面要求无落叶等污物明显堆积，落水管口清洁、畅通，每月清理1次；建筑物外墙3米以下无污损、无小广告。墙面、地面无蜘蛛网、无积灰、无垃圾、无积水;消防设施、门楣无积灰。</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EC18C8B">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2624E965">
            <w:pPr>
              <w:jc w:val="both"/>
              <w:rPr>
                <w:rFonts w:hint="eastAsia" w:ascii="仿宋" w:hAnsi="仿宋" w:eastAsia="仿宋" w:cs="仿宋"/>
                <w:b w:val="0"/>
                <w:bCs w:val="0"/>
                <w:i w:val="0"/>
                <w:iCs w:val="0"/>
                <w:color w:val="000000"/>
                <w:sz w:val="24"/>
                <w:szCs w:val="24"/>
                <w:u w:val="none"/>
              </w:rPr>
            </w:pPr>
          </w:p>
        </w:tc>
      </w:tr>
      <w:tr w14:paraId="5920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611B85F7">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A386FE0">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28</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543A63C2">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公共区域无卫生死角、</w:t>
            </w:r>
            <w:r>
              <w:rPr>
                <w:rStyle w:val="285"/>
                <w:rFonts w:hint="eastAsia" w:ascii="仿宋" w:hAnsi="仿宋" w:eastAsia="仿宋" w:cs="仿宋"/>
                <w:b w:val="0"/>
                <w:bCs w:val="0"/>
                <w:color w:val="auto"/>
                <w:sz w:val="24"/>
                <w:szCs w:val="24"/>
                <w:lang w:val="en-US" w:eastAsia="zh-CN" w:bidi="ar"/>
              </w:rPr>
              <w:t>打扫到位。</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CC888EA">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023D931">
            <w:pPr>
              <w:jc w:val="both"/>
              <w:rPr>
                <w:rFonts w:hint="eastAsia" w:ascii="仿宋" w:hAnsi="仿宋" w:eastAsia="仿宋" w:cs="仿宋"/>
                <w:b w:val="0"/>
                <w:bCs w:val="0"/>
                <w:i w:val="0"/>
                <w:iCs w:val="0"/>
                <w:color w:val="000000"/>
                <w:sz w:val="24"/>
                <w:szCs w:val="24"/>
                <w:u w:val="none"/>
              </w:rPr>
            </w:pPr>
          </w:p>
        </w:tc>
      </w:tr>
      <w:tr w14:paraId="31E9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right w:val="single" w:color="auto" w:sz="4" w:space="0"/>
            </w:tcBorders>
            <w:noWrap w:val="0"/>
            <w:vAlign w:val="center"/>
          </w:tcPr>
          <w:p w14:paraId="7621BC8A">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5FAD51E1">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29</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32CC5B1C">
            <w:pPr>
              <w:keepNext w:val="0"/>
              <w:keepLines w:val="0"/>
              <w:widowControl/>
              <w:suppressLineNumbers w:val="0"/>
              <w:jc w:val="both"/>
              <w:textAlignment w:val="top"/>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不锈钢件、</w:t>
            </w:r>
            <w:r>
              <w:rPr>
                <w:rStyle w:val="285"/>
                <w:rFonts w:hint="eastAsia" w:ascii="仿宋" w:hAnsi="仿宋" w:eastAsia="仿宋" w:cs="仿宋"/>
                <w:b w:val="0"/>
                <w:bCs w:val="0"/>
                <w:color w:val="auto"/>
                <w:sz w:val="24"/>
                <w:szCs w:val="24"/>
                <w:lang w:val="en-US" w:eastAsia="zh-CN" w:bidi="ar"/>
              </w:rPr>
              <w:t>窗台、玻璃保持洁净。</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1BDB337">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43B37343">
            <w:pPr>
              <w:jc w:val="both"/>
              <w:rPr>
                <w:rFonts w:hint="eastAsia" w:ascii="仿宋" w:hAnsi="仿宋" w:eastAsia="仿宋" w:cs="仿宋"/>
                <w:b w:val="0"/>
                <w:bCs w:val="0"/>
                <w:i w:val="0"/>
                <w:iCs w:val="0"/>
                <w:color w:val="000000"/>
                <w:sz w:val="24"/>
                <w:szCs w:val="24"/>
                <w:u w:val="none"/>
              </w:rPr>
            </w:pPr>
          </w:p>
        </w:tc>
      </w:tr>
      <w:tr w14:paraId="7AEE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000000" w:sz="4" w:space="0"/>
              <w:bottom w:val="single" w:color="000000" w:sz="4" w:space="0"/>
              <w:right w:val="single" w:color="auto" w:sz="4" w:space="0"/>
            </w:tcBorders>
            <w:noWrap w:val="0"/>
            <w:vAlign w:val="center"/>
          </w:tcPr>
          <w:p w14:paraId="214962D9">
            <w:pPr>
              <w:jc w:val="both"/>
              <w:rPr>
                <w:rFonts w:hint="eastAsia" w:ascii="仿宋" w:hAnsi="仿宋" w:eastAsia="仿宋" w:cs="仿宋"/>
                <w:b w:val="0"/>
                <w:bCs w:val="0"/>
                <w:i w:val="0"/>
                <w:iCs w:val="0"/>
                <w:color w:val="000000"/>
                <w:sz w:val="24"/>
                <w:szCs w:val="24"/>
                <w:u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7D2D994E">
            <w:pPr>
              <w:keepNext w:val="0"/>
              <w:keepLines w:val="0"/>
              <w:widowControl/>
              <w:suppressLineNumbers w:val="0"/>
              <w:jc w:val="center"/>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B848733">
            <w:pPr>
              <w:keepNext w:val="0"/>
              <w:keepLines w:val="0"/>
              <w:widowControl/>
              <w:suppressLineNumbers w:val="0"/>
              <w:jc w:val="both"/>
              <w:textAlignment w:val="top"/>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按要求消杀、清除“四害”。</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194247B">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napToGrid w:val="0"/>
                <w:color w:val="000000"/>
                <w:spacing w:val="4"/>
                <w:sz w:val="24"/>
                <w:szCs w:val="24"/>
                <w:lang w:val="en-US" w:eastAsia="zh-CN"/>
              </w:rPr>
              <w:t>未达到，</w:t>
            </w:r>
            <w:r>
              <w:rPr>
                <w:rFonts w:hint="eastAsia" w:ascii="仿宋" w:hAnsi="仿宋" w:eastAsia="仿宋" w:cs="仿宋"/>
                <w:b w:val="0"/>
                <w:bCs w:val="0"/>
                <w:i w:val="0"/>
                <w:iCs w:val="0"/>
                <w:color w:val="000000"/>
                <w:kern w:val="0"/>
                <w:sz w:val="24"/>
                <w:szCs w:val="24"/>
                <w:u w:val="none"/>
                <w:lang w:val="en-US" w:eastAsia="zh-CN" w:bidi="ar"/>
              </w:rPr>
              <w:t>每次每处扣1分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08C2698">
            <w:pPr>
              <w:jc w:val="both"/>
              <w:rPr>
                <w:rFonts w:hint="eastAsia" w:ascii="仿宋" w:hAnsi="仿宋" w:eastAsia="仿宋" w:cs="仿宋"/>
                <w:b w:val="0"/>
                <w:bCs w:val="0"/>
                <w:i w:val="0"/>
                <w:iCs w:val="0"/>
                <w:color w:val="000000"/>
                <w:sz w:val="24"/>
                <w:szCs w:val="24"/>
                <w:u w:val="none"/>
              </w:rPr>
            </w:pPr>
          </w:p>
        </w:tc>
      </w:tr>
      <w:tr w14:paraId="3112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restart"/>
            <w:tcBorders>
              <w:top w:val="single" w:color="auto" w:sz="4" w:space="0"/>
              <w:left w:val="single" w:color="auto" w:sz="4" w:space="0"/>
              <w:right w:val="single" w:color="auto" w:sz="4" w:space="0"/>
            </w:tcBorders>
            <w:noWrap w:val="0"/>
            <w:vAlign w:val="center"/>
          </w:tcPr>
          <w:p w14:paraId="25229186">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投诉</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6554BF0E">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31</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6A61DB7">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师生有效投诉；对投诉问题未及时整改且未对师生进行解释、</w:t>
            </w:r>
            <w:r>
              <w:rPr>
                <w:rStyle w:val="253"/>
                <w:rFonts w:hint="eastAsia" w:ascii="仿宋" w:hAnsi="仿宋" w:eastAsia="仿宋" w:cs="仿宋"/>
                <w:b w:val="0"/>
                <w:bCs w:val="0"/>
                <w:sz w:val="24"/>
                <w:szCs w:val="24"/>
                <w:lang w:val="en-US" w:eastAsia="zh-CN" w:bidi="ar"/>
              </w:rPr>
              <w:t>上报。</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B6AB32E">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每项每次扣2分</w:t>
            </w:r>
          </w:p>
        </w:tc>
        <w:tc>
          <w:tcPr>
            <w:tcW w:w="609" w:type="dxa"/>
            <w:tcBorders>
              <w:top w:val="single" w:color="auto" w:sz="4" w:space="0"/>
              <w:left w:val="single" w:color="auto" w:sz="4" w:space="0"/>
              <w:bottom w:val="single" w:color="auto" w:sz="4" w:space="0"/>
              <w:right w:val="single" w:color="auto" w:sz="4" w:space="0"/>
            </w:tcBorders>
            <w:noWrap/>
            <w:vAlign w:val="center"/>
          </w:tcPr>
          <w:p w14:paraId="5C92A137">
            <w:pPr>
              <w:jc w:val="both"/>
              <w:rPr>
                <w:rFonts w:hint="eastAsia" w:ascii="仿宋" w:hAnsi="仿宋" w:eastAsia="仿宋" w:cs="仿宋"/>
                <w:b w:val="0"/>
                <w:bCs w:val="0"/>
                <w:i w:val="0"/>
                <w:iCs w:val="0"/>
                <w:color w:val="000000"/>
                <w:sz w:val="24"/>
                <w:szCs w:val="24"/>
                <w:u w:val="none"/>
              </w:rPr>
            </w:pPr>
          </w:p>
        </w:tc>
      </w:tr>
      <w:tr w14:paraId="5AEE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auto" w:sz="4" w:space="0"/>
              <w:right w:val="single" w:color="auto" w:sz="4" w:space="0"/>
            </w:tcBorders>
            <w:noWrap w:val="0"/>
            <w:vAlign w:val="center"/>
          </w:tcPr>
          <w:p w14:paraId="27D2B86D">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48CF9556">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32</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3569940B">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在上级领导巡查期间被批评。</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41BB1D5">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每次扣5分</w:t>
            </w:r>
          </w:p>
        </w:tc>
        <w:tc>
          <w:tcPr>
            <w:tcW w:w="609" w:type="dxa"/>
            <w:tcBorders>
              <w:top w:val="single" w:color="auto" w:sz="4" w:space="0"/>
              <w:left w:val="single" w:color="auto" w:sz="4" w:space="0"/>
              <w:bottom w:val="single" w:color="auto" w:sz="4" w:space="0"/>
              <w:right w:val="single" w:color="auto" w:sz="4" w:space="0"/>
            </w:tcBorders>
            <w:noWrap/>
            <w:vAlign w:val="center"/>
          </w:tcPr>
          <w:p w14:paraId="581EEB57">
            <w:pPr>
              <w:jc w:val="both"/>
              <w:rPr>
                <w:rFonts w:hint="eastAsia" w:ascii="仿宋" w:hAnsi="仿宋" w:eastAsia="仿宋" w:cs="仿宋"/>
                <w:b w:val="0"/>
                <w:bCs w:val="0"/>
                <w:i w:val="0"/>
                <w:iCs w:val="0"/>
                <w:color w:val="000000"/>
                <w:sz w:val="24"/>
                <w:szCs w:val="24"/>
                <w:u w:val="none"/>
              </w:rPr>
            </w:pPr>
          </w:p>
        </w:tc>
      </w:tr>
      <w:tr w14:paraId="3590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auto" w:sz="4" w:space="0"/>
              <w:right w:val="single" w:color="auto" w:sz="4" w:space="0"/>
            </w:tcBorders>
            <w:noWrap w:val="0"/>
            <w:vAlign w:val="center"/>
          </w:tcPr>
          <w:p w14:paraId="20687BE4">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3C10F3E4">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33</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15EC300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在各级各类检查评比活动中被点名批评或查出问题。</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BB11F12">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每次扣5-10分</w:t>
            </w:r>
          </w:p>
        </w:tc>
        <w:tc>
          <w:tcPr>
            <w:tcW w:w="609" w:type="dxa"/>
            <w:tcBorders>
              <w:top w:val="single" w:color="auto" w:sz="4" w:space="0"/>
              <w:left w:val="single" w:color="auto" w:sz="4" w:space="0"/>
              <w:bottom w:val="single" w:color="auto" w:sz="4" w:space="0"/>
              <w:right w:val="single" w:color="auto" w:sz="4" w:space="0"/>
            </w:tcBorders>
            <w:noWrap/>
            <w:vAlign w:val="center"/>
          </w:tcPr>
          <w:p w14:paraId="4A3E24D9">
            <w:pPr>
              <w:jc w:val="both"/>
              <w:rPr>
                <w:rFonts w:hint="eastAsia" w:ascii="仿宋" w:hAnsi="仿宋" w:eastAsia="仿宋" w:cs="仿宋"/>
                <w:b w:val="0"/>
                <w:bCs w:val="0"/>
                <w:i w:val="0"/>
                <w:iCs w:val="0"/>
                <w:color w:val="000000"/>
                <w:sz w:val="24"/>
                <w:szCs w:val="24"/>
                <w:u w:val="none"/>
              </w:rPr>
            </w:pPr>
          </w:p>
        </w:tc>
      </w:tr>
      <w:tr w14:paraId="1AB3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vMerge w:val="continue"/>
            <w:tcBorders>
              <w:left w:val="single" w:color="auto" w:sz="4" w:space="0"/>
              <w:bottom w:val="single" w:color="auto" w:sz="4" w:space="0"/>
              <w:right w:val="single" w:color="auto" w:sz="4" w:space="0"/>
            </w:tcBorders>
            <w:noWrap w:val="0"/>
            <w:vAlign w:val="center"/>
          </w:tcPr>
          <w:p w14:paraId="3D50D87E">
            <w:pPr>
              <w:keepNext w:val="0"/>
              <w:keepLines w:val="0"/>
              <w:widowControl/>
              <w:suppressLineNumbers w:val="0"/>
              <w:jc w:val="both"/>
              <w:textAlignment w:val="top"/>
              <w:rPr>
                <w:rFonts w:hint="eastAsia" w:ascii="仿宋" w:hAnsi="仿宋" w:eastAsia="仿宋" w:cs="仿宋"/>
                <w:b w:val="0"/>
                <w:bCs w:val="0"/>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06F2FB61">
            <w:pPr>
              <w:keepNext w:val="0"/>
              <w:keepLines w:val="0"/>
              <w:widowControl/>
              <w:suppressLineNumbers w:val="0"/>
              <w:jc w:val="center"/>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34</w:t>
            </w:r>
          </w:p>
        </w:tc>
        <w:tc>
          <w:tcPr>
            <w:tcW w:w="4886" w:type="dxa"/>
            <w:tcBorders>
              <w:top w:val="single" w:color="auto" w:sz="4" w:space="0"/>
              <w:left w:val="single" w:color="auto" w:sz="4" w:space="0"/>
              <w:bottom w:val="single" w:color="auto" w:sz="4" w:space="0"/>
              <w:right w:val="single" w:color="auto" w:sz="4" w:space="0"/>
            </w:tcBorders>
            <w:noWrap w:val="0"/>
            <w:vAlign w:val="center"/>
          </w:tcPr>
          <w:p w14:paraId="69638670">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其他不符合物业服务标准和规范的事项。</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1DFAE2D">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每次扣</w:t>
            </w:r>
            <w:r>
              <w:rPr>
                <w:rStyle w:val="253"/>
                <w:rFonts w:hint="eastAsia" w:ascii="仿宋" w:hAnsi="仿宋" w:eastAsia="仿宋" w:cs="仿宋"/>
                <w:b w:val="0"/>
                <w:bCs w:val="0"/>
                <w:sz w:val="24"/>
                <w:szCs w:val="24"/>
                <w:lang w:val="en-US" w:eastAsia="zh-CN" w:bidi="ar"/>
              </w:rPr>
              <w:t>1-5分</w:t>
            </w:r>
          </w:p>
        </w:tc>
        <w:tc>
          <w:tcPr>
            <w:tcW w:w="609" w:type="dxa"/>
            <w:tcBorders>
              <w:top w:val="single" w:color="auto" w:sz="4" w:space="0"/>
              <w:left w:val="single" w:color="auto" w:sz="4" w:space="0"/>
              <w:bottom w:val="single" w:color="auto" w:sz="4" w:space="0"/>
              <w:right w:val="single" w:color="auto" w:sz="4" w:space="0"/>
            </w:tcBorders>
            <w:noWrap/>
            <w:vAlign w:val="center"/>
          </w:tcPr>
          <w:p w14:paraId="5D29A85A">
            <w:pPr>
              <w:jc w:val="both"/>
              <w:rPr>
                <w:rFonts w:hint="eastAsia" w:ascii="仿宋" w:hAnsi="仿宋" w:eastAsia="仿宋" w:cs="仿宋"/>
                <w:b w:val="0"/>
                <w:bCs w:val="0"/>
                <w:i w:val="0"/>
                <w:iCs w:val="0"/>
                <w:color w:val="000000"/>
                <w:sz w:val="24"/>
                <w:szCs w:val="24"/>
                <w:u w:val="none"/>
              </w:rPr>
            </w:pPr>
          </w:p>
        </w:tc>
      </w:tr>
      <w:tr w14:paraId="0AC5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35B72A59">
            <w:pPr>
              <w:keepNext w:val="0"/>
              <w:keepLines w:val="0"/>
              <w:widowControl/>
              <w:suppressLineNumbers w:val="0"/>
              <w:jc w:val="both"/>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6994CDD">
            <w:pPr>
              <w:jc w:val="both"/>
              <w:rPr>
                <w:rFonts w:hint="eastAsia" w:ascii="仿宋" w:hAnsi="仿宋" w:eastAsia="仿宋" w:cs="仿宋"/>
                <w:b w:val="0"/>
                <w:bCs w:val="0"/>
                <w:i w:val="0"/>
                <w:iCs w:val="0"/>
                <w:color w:val="000000"/>
                <w:sz w:val="24"/>
                <w:szCs w:val="24"/>
                <w:u w:val="none"/>
              </w:rPr>
            </w:pPr>
          </w:p>
        </w:tc>
        <w:tc>
          <w:tcPr>
            <w:tcW w:w="4886" w:type="dxa"/>
            <w:tcBorders>
              <w:top w:val="single" w:color="auto" w:sz="4" w:space="0"/>
              <w:left w:val="single" w:color="auto" w:sz="4" w:space="0"/>
              <w:bottom w:val="single" w:color="auto" w:sz="4" w:space="0"/>
              <w:right w:val="single" w:color="auto" w:sz="4" w:space="0"/>
            </w:tcBorders>
            <w:noWrap w:val="0"/>
            <w:vAlign w:val="center"/>
          </w:tcPr>
          <w:p w14:paraId="70E7A7AC">
            <w:pPr>
              <w:jc w:val="both"/>
              <w:rPr>
                <w:rFonts w:hint="eastAsia" w:ascii="仿宋" w:hAnsi="仿宋" w:eastAsia="仿宋" w:cs="仿宋"/>
                <w:b w:val="0"/>
                <w:bCs w:val="0"/>
                <w:i w:val="0"/>
                <w:iCs w:val="0"/>
                <w:color w:val="000000"/>
                <w:sz w:val="24"/>
                <w:szCs w:val="24"/>
                <w:u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2CC169A">
            <w:pPr>
              <w:jc w:val="both"/>
              <w:rPr>
                <w:rFonts w:hint="eastAsia" w:ascii="仿宋" w:hAnsi="仿宋" w:eastAsia="仿宋" w:cs="仿宋"/>
                <w:b w:val="0"/>
                <w:bCs w:val="0"/>
                <w:i w:val="0"/>
                <w:iCs w:val="0"/>
                <w:color w:val="000000"/>
                <w:sz w:val="24"/>
                <w:szCs w:val="24"/>
                <w:u w:val="none"/>
              </w:rPr>
            </w:pPr>
          </w:p>
        </w:tc>
        <w:tc>
          <w:tcPr>
            <w:tcW w:w="609" w:type="dxa"/>
            <w:tcBorders>
              <w:top w:val="single" w:color="auto" w:sz="4" w:space="0"/>
              <w:left w:val="single" w:color="auto" w:sz="4" w:space="0"/>
              <w:bottom w:val="single" w:color="auto" w:sz="4" w:space="0"/>
              <w:right w:val="single" w:color="auto" w:sz="4" w:space="0"/>
            </w:tcBorders>
            <w:noWrap/>
            <w:vAlign w:val="center"/>
          </w:tcPr>
          <w:p w14:paraId="5FAE7DF5">
            <w:pPr>
              <w:jc w:val="both"/>
              <w:rPr>
                <w:rFonts w:hint="eastAsia" w:ascii="仿宋" w:hAnsi="仿宋" w:eastAsia="仿宋" w:cs="仿宋"/>
                <w:b w:val="0"/>
                <w:bCs w:val="0"/>
                <w:i w:val="0"/>
                <w:iCs w:val="0"/>
                <w:color w:val="000000"/>
                <w:sz w:val="24"/>
                <w:szCs w:val="24"/>
                <w:u w:val="none"/>
              </w:rPr>
            </w:pPr>
          </w:p>
        </w:tc>
      </w:tr>
    </w:tbl>
    <w:p w14:paraId="1F0938CE">
      <w:pPr>
        <w:pStyle w:val="4"/>
        <w:pageBreakBefore w:val="0"/>
        <w:kinsoku/>
        <w:wordWrap/>
        <w:overflowPunct/>
        <w:topLinePunct w:val="0"/>
        <w:bidi w:val="0"/>
        <w:spacing w:before="0" w:line="192" w:lineRule="auto"/>
        <w:ind w:left="0" w:leftChars="0" w:right="0"/>
        <w:jc w:val="both"/>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备注：考核总分为100分，减去扣分后为最终得分。</w:t>
      </w:r>
    </w:p>
    <w:p w14:paraId="0DD55823">
      <w:pPr>
        <w:pageBreakBefore w:val="0"/>
        <w:kinsoku/>
        <w:wordWrap/>
        <w:overflowPunct/>
        <w:topLinePunct w:val="0"/>
        <w:bidi w:val="0"/>
        <w:spacing w:line="192" w:lineRule="auto"/>
        <w:ind w:left="0" w:leftChars="0" w:right="0"/>
        <w:jc w:val="both"/>
        <w:rPr>
          <w:rFonts w:hint="eastAsia" w:ascii="仿宋" w:hAnsi="仿宋" w:eastAsia="仿宋" w:cs="仿宋"/>
          <w:sz w:val="28"/>
          <w:szCs w:val="28"/>
        </w:rPr>
        <w:sectPr>
          <w:footerReference r:id="rId11" w:type="default"/>
          <w:pgSz w:w="11900" w:h="16840"/>
          <w:pgMar w:top="1431" w:right="1434" w:bottom="1432" w:left="1432" w:header="850" w:footer="1216" w:gutter="0"/>
          <w:pgBorders>
            <w:top w:val="none" w:sz="0" w:space="0"/>
            <w:left w:val="none" w:sz="0" w:space="0"/>
            <w:bottom w:val="none" w:sz="0" w:space="0"/>
            <w:right w:val="none" w:sz="0" w:space="0"/>
          </w:pgBorders>
          <w:pgNumType w:fmt="decimal"/>
          <w:cols w:space="720" w:num="1"/>
        </w:sectPr>
      </w:pPr>
    </w:p>
    <w:p w14:paraId="320CB25F">
      <w:pPr>
        <w:pStyle w:val="4"/>
        <w:pageBreakBefore w:val="0"/>
        <w:kinsoku/>
        <w:wordWrap/>
        <w:overflowPunct/>
        <w:topLinePunct w:val="0"/>
        <w:bidi w:val="0"/>
        <w:spacing w:before="0" w:line="197" w:lineRule="auto"/>
        <w:ind w:left="0" w:leftChars="0" w:right="330" w:rightChars="157"/>
        <w:jc w:val="center"/>
        <w:outlineLvl w:val="2"/>
        <w:rPr>
          <w:rFonts w:hint="eastAsia" w:ascii="仿宋" w:hAnsi="仿宋" w:eastAsia="仿宋" w:cs="仿宋"/>
          <w:b/>
          <w:bCs/>
          <w:spacing w:val="6"/>
          <w:sz w:val="28"/>
          <w:szCs w:val="28"/>
        </w:rPr>
      </w:pPr>
      <w:r>
        <w:rPr>
          <w:rFonts w:hint="eastAsia" w:ascii="仿宋" w:hAnsi="仿宋" w:eastAsia="仿宋" w:cs="仿宋"/>
          <w:b/>
          <w:bCs/>
          <w:spacing w:val="6"/>
          <w:sz w:val="28"/>
          <w:szCs w:val="28"/>
        </w:rPr>
        <w:t>（</w:t>
      </w:r>
      <w:r>
        <w:rPr>
          <w:rFonts w:hint="eastAsia" w:ascii="仿宋" w:hAnsi="仿宋" w:eastAsia="仿宋" w:cs="仿宋"/>
          <w:b/>
          <w:bCs/>
          <w:spacing w:val="6"/>
          <w:sz w:val="28"/>
          <w:szCs w:val="28"/>
          <w:lang w:val="en-US" w:eastAsia="zh-CN"/>
        </w:rPr>
        <w:t>五</w:t>
      </w:r>
      <w:r>
        <w:rPr>
          <w:rFonts w:hint="eastAsia" w:ascii="仿宋" w:hAnsi="仿宋" w:eastAsia="仿宋" w:cs="仿宋"/>
          <w:b/>
          <w:bCs/>
          <w:spacing w:val="6"/>
          <w:sz w:val="28"/>
          <w:szCs w:val="28"/>
        </w:rPr>
        <w:t>）校园绿化养护</w:t>
      </w:r>
      <w:r>
        <w:rPr>
          <w:rFonts w:hint="eastAsia" w:ascii="仿宋" w:hAnsi="仿宋" w:eastAsia="仿宋" w:cs="仿宋"/>
          <w:b/>
          <w:bCs/>
          <w:spacing w:val="6"/>
          <w:sz w:val="28"/>
          <w:szCs w:val="28"/>
          <w:lang w:val="en-US" w:eastAsia="zh-CN"/>
        </w:rPr>
        <w:t>服务考评</w:t>
      </w:r>
      <w:r>
        <w:rPr>
          <w:rFonts w:hint="eastAsia" w:ascii="仿宋" w:hAnsi="仿宋" w:eastAsia="仿宋" w:cs="仿宋"/>
          <w:b/>
          <w:bCs/>
          <w:spacing w:val="6"/>
          <w:sz w:val="28"/>
          <w:szCs w:val="28"/>
        </w:rPr>
        <w:t>细则</w:t>
      </w: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585"/>
        <w:gridCol w:w="5529"/>
        <w:gridCol w:w="2156"/>
        <w:gridCol w:w="639"/>
      </w:tblGrid>
      <w:tr w14:paraId="126C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noWrap w:val="0"/>
            <w:vAlign w:val="center"/>
          </w:tcPr>
          <w:p w14:paraId="17147FD4">
            <w:pPr>
              <w:pStyle w:val="269"/>
              <w:pageBreakBefore w:val="0"/>
              <w:kinsoku/>
              <w:wordWrap/>
              <w:overflowPunct/>
              <w:topLinePunct w:val="0"/>
              <w:bidi w:val="0"/>
              <w:spacing w:line="199" w:lineRule="auto"/>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项目</w:t>
            </w:r>
          </w:p>
        </w:tc>
        <w:tc>
          <w:tcPr>
            <w:tcW w:w="585" w:type="dxa"/>
            <w:noWrap w:val="0"/>
            <w:vAlign w:val="center"/>
          </w:tcPr>
          <w:p w14:paraId="65DE3D22">
            <w:pPr>
              <w:pStyle w:val="269"/>
              <w:pageBreakBefore w:val="0"/>
              <w:kinsoku/>
              <w:wordWrap/>
              <w:overflowPunct/>
              <w:topLinePunct w:val="0"/>
              <w:bidi w:val="0"/>
              <w:spacing w:line="199" w:lineRule="auto"/>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序号</w:t>
            </w:r>
          </w:p>
        </w:tc>
        <w:tc>
          <w:tcPr>
            <w:tcW w:w="5529" w:type="dxa"/>
            <w:noWrap w:val="0"/>
            <w:vAlign w:val="center"/>
          </w:tcPr>
          <w:p w14:paraId="6CD5AE9A">
            <w:pPr>
              <w:pStyle w:val="269"/>
              <w:pageBreakBefore w:val="0"/>
              <w:kinsoku/>
              <w:wordWrap/>
              <w:overflowPunct/>
              <w:topLinePunct w:val="0"/>
              <w:bidi w:val="0"/>
              <w:spacing w:line="200" w:lineRule="auto"/>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1"/>
                <w:sz w:val="24"/>
                <w:szCs w:val="24"/>
              </w:rPr>
              <w:t>内容</w:t>
            </w:r>
          </w:p>
        </w:tc>
        <w:tc>
          <w:tcPr>
            <w:tcW w:w="2156" w:type="dxa"/>
            <w:noWrap w:val="0"/>
            <w:vAlign w:val="center"/>
          </w:tcPr>
          <w:p w14:paraId="3BDA59E7">
            <w:pPr>
              <w:pStyle w:val="269"/>
              <w:pageBreakBefore w:val="0"/>
              <w:kinsoku/>
              <w:wordWrap/>
              <w:overflowPunct/>
              <w:topLinePunct w:val="0"/>
              <w:bidi w:val="0"/>
              <w:spacing w:line="200" w:lineRule="auto"/>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扣除分值</w:t>
            </w:r>
          </w:p>
        </w:tc>
        <w:tc>
          <w:tcPr>
            <w:tcW w:w="639" w:type="dxa"/>
            <w:noWrap w:val="0"/>
            <w:vAlign w:val="center"/>
          </w:tcPr>
          <w:p w14:paraId="5B522A26">
            <w:pPr>
              <w:pStyle w:val="269"/>
              <w:pageBreakBefore w:val="0"/>
              <w:kinsoku/>
              <w:wordWrap/>
              <w:overflowPunct/>
              <w:topLinePunct w:val="0"/>
              <w:bidi w:val="0"/>
              <w:spacing w:line="183" w:lineRule="auto"/>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3"/>
                <w:sz w:val="24"/>
                <w:szCs w:val="24"/>
              </w:rPr>
              <w:t>扣分</w:t>
            </w:r>
          </w:p>
        </w:tc>
      </w:tr>
      <w:tr w14:paraId="35FB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restart"/>
            <w:tcBorders>
              <w:bottom w:val="nil"/>
            </w:tcBorders>
            <w:noWrap w:val="0"/>
            <w:vAlign w:val="center"/>
          </w:tcPr>
          <w:p w14:paraId="1CB28E7B">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p w14:paraId="2B077507">
            <w:pPr>
              <w:pStyle w:val="269"/>
              <w:pageBreakBefore w:val="0"/>
              <w:kinsoku/>
              <w:wordWrap/>
              <w:overflowPunct/>
              <w:topLinePunct w:val="0"/>
              <w:bidi w:val="0"/>
              <w:spacing w:line="260" w:lineRule="exact"/>
              <w:ind w:left="0" w:leftChars="0" w:right="0" w:firstLine="2"/>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行为</w:t>
            </w:r>
            <w:r>
              <w:rPr>
                <w:rFonts w:hint="eastAsia" w:ascii="仿宋" w:hAnsi="仿宋" w:eastAsia="仿宋" w:cs="仿宋"/>
                <w:snapToGrid w:val="0"/>
                <w:color w:val="000000"/>
                <w:spacing w:val="2"/>
                <w:sz w:val="24"/>
                <w:szCs w:val="24"/>
              </w:rPr>
              <w:t>规范</w:t>
            </w:r>
          </w:p>
        </w:tc>
        <w:tc>
          <w:tcPr>
            <w:tcW w:w="585" w:type="dxa"/>
            <w:noWrap w:val="0"/>
            <w:vAlign w:val="center"/>
          </w:tcPr>
          <w:p w14:paraId="1C071498">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1</w:t>
            </w:r>
          </w:p>
        </w:tc>
        <w:tc>
          <w:tcPr>
            <w:tcW w:w="5529" w:type="dxa"/>
            <w:noWrap w:val="0"/>
            <w:vAlign w:val="center"/>
          </w:tcPr>
          <w:p w14:paraId="1C55E67A">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不按规定统一着装</w:t>
            </w:r>
          </w:p>
        </w:tc>
        <w:tc>
          <w:tcPr>
            <w:tcW w:w="2156" w:type="dxa"/>
            <w:noWrap w:val="0"/>
            <w:vAlign w:val="center"/>
          </w:tcPr>
          <w:p w14:paraId="7A109D63">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每人每次扣1分</w:t>
            </w:r>
          </w:p>
        </w:tc>
        <w:tc>
          <w:tcPr>
            <w:tcW w:w="639" w:type="dxa"/>
            <w:noWrap w:val="0"/>
            <w:vAlign w:val="center"/>
          </w:tcPr>
          <w:p w14:paraId="5FEE5025">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7FA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7DDA8676">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5AB4FDE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w:t>
            </w:r>
          </w:p>
        </w:tc>
        <w:tc>
          <w:tcPr>
            <w:tcW w:w="5529" w:type="dxa"/>
            <w:noWrap w:val="0"/>
            <w:vAlign w:val="center"/>
          </w:tcPr>
          <w:p w14:paraId="35FA258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不使用文明用语</w:t>
            </w:r>
          </w:p>
        </w:tc>
        <w:tc>
          <w:tcPr>
            <w:tcW w:w="2156" w:type="dxa"/>
            <w:noWrap w:val="0"/>
            <w:vAlign w:val="center"/>
          </w:tcPr>
          <w:p w14:paraId="2EB770BC">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每人每次扣1分</w:t>
            </w:r>
          </w:p>
        </w:tc>
        <w:tc>
          <w:tcPr>
            <w:tcW w:w="639" w:type="dxa"/>
            <w:noWrap w:val="0"/>
            <w:vAlign w:val="center"/>
          </w:tcPr>
          <w:p w14:paraId="546E8C5C">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914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2DD0E8F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7D8CA232">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w:t>
            </w:r>
          </w:p>
        </w:tc>
        <w:tc>
          <w:tcPr>
            <w:tcW w:w="5529" w:type="dxa"/>
            <w:noWrap w:val="0"/>
            <w:vAlign w:val="center"/>
          </w:tcPr>
          <w:p w14:paraId="280CBE2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工作时间干私事</w:t>
            </w:r>
          </w:p>
        </w:tc>
        <w:tc>
          <w:tcPr>
            <w:tcW w:w="2156" w:type="dxa"/>
            <w:noWrap w:val="0"/>
            <w:vAlign w:val="center"/>
          </w:tcPr>
          <w:p w14:paraId="25922F8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每人每次扣1分</w:t>
            </w:r>
          </w:p>
        </w:tc>
        <w:tc>
          <w:tcPr>
            <w:tcW w:w="639" w:type="dxa"/>
            <w:noWrap w:val="0"/>
            <w:vAlign w:val="center"/>
          </w:tcPr>
          <w:p w14:paraId="66062F66">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58B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472588C1">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5ECAA69C">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4</w:t>
            </w:r>
          </w:p>
        </w:tc>
        <w:tc>
          <w:tcPr>
            <w:tcW w:w="5529" w:type="dxa"/>
            <w:noWrap w:val="0"/>
            <w:vAlign w:val="center"/>
          </w:tcPr>
          <w:p w14:paraId="5C7EA756">
            <w:pPr>
              <w:pStyle w:val="269"/>
              <w:pageBreakBefore w:val="0"/>
              <w:kinsoku/>
              <w:wordWrap/>
              <w:overflowPunct/>
              <w:topLinePunct w:val="0"/>
              <w:bidi w:val="0"/>
              <w:spacing w:line="260" w:lineRule="exact"/>
              <w:ind w:left="0" w:leftChars="0" w:right="0" w:firstLine="21"/>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岗位上存在吸烟、吃零食、看书报、会客、玩手机、听收</w:t>
            </w:r>
            <w:r>
              <w:rPr>
                <w:rFonts w:hint="eastAsia" w:ascii="仿宋" w:hAnsi="仿宋" w:eastAsia="仿宋" w:cs="仿宋"/>
                <w:snapToGrid w:val="0"/>
                <w:color w:val="000000"/>
                <w:spacing w:val="4"/>
                <w:sz w:val="24"/>
                <w:szCs w:val="24"/>
              </w:rPr>
              <w:t>（录）音机，嬉戏、打闹等影响工作的现象</w:t>
            </w:r>
          </w:p>
        </w:tc>
        <w:tc>
          <w:tcPr>
            <w:tcW w:w="2156" w:type="dxa"/>
            <w:noWrap w:val="0"/>
            <w:vAlign w:val="center"/>
          </w:tcPr>
          <w:p w14:paraId="55596FC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每人每次扣1分</w:t>
            </w:r>
          </w:p>
        </w:tc>
        <w:tc>
          <w:tcPr>
            <w:tcW w:w="639" w:type="dxa"/>
            <w:noWrap w:val="0"/>
            <w:vAlign w:val="center"/>
          </w:tcPr>
          <w:p w14:paraId="011B23E3">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41E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5D72C907">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3CAC4473">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5</w:t>
            </w:r>
          </w:p>
        </w:tc>
        <w:tc>
          <w:tcPr>
            <w:tcW w:w="5529" w:type="dxa"/>
            <w:noWrap w:val="0"/>
            <w:vAlign w:val="center"/>
          </w:tcPr>
          <w:p w14:paraId="7F99F46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态度不端正，不服从工作安排，抵制工作</w:t>
            </w:r>
          </w:p>
        </w:tc>
        <w:tc>
          <w:tcPr>
            <w:tcW w:w="2156" w:type="dxa"/>
            <w:noWrap w:val="0"/>
            <w:vAlign w:val="center"/>
          </w:tcPr>
          <w:p w14:paraId="6185117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每人每次扣1分</w:t>
            </w:r>
          </w:p>
        </w:tc>
        <w:tc>
          <w:tcPr>
            <w:tcW w:w="639" w:type="dxa"/>
            <w:noWrap w:val="0"/>
            <w:vAlign w:val="center"/>
          </w:tcPr>
          <w:p w14:paraId="2AD8CF9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13C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520E4A7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6E6A8737">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6</w:t>
            </w:r>
          </w:p>
        </w:tc>
        <w:tc>
          <w:tcPr>
            <w:tcW w:w="5529" w:type="dxa"/>
            <w:noWrap w:val="0"/>
            <w:vAlign w:val="center"/>
          </w:tcPr>
          <w:p w14:paraId="54E5EB8D">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迟到、早退，交接班工作不交接清楚</w:t>
            </w:r>
          </w:p>
        </w:tc>
        <w:tc>
          <w:tcPr>
            <w:tcW w:w="2156" w:type="dxa"/>
            <w:noWrap w:val="0"/>
            <w:vAlign w:val="center"/>
          </w:tcPr>
          <w:p w14:paraId="22D1642B">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每人每次扣2分</w:t>
            </w:r>
          </w:p>
        </w:tc>
        <w:tc>
          <w:tcPr>
            <w:tcW w:w="639" w:type="dxa"/>
            <w:noWrap w:val="0"/>
            <w:vAlign w:val="center"/>
          </w:tcPr>
          <w:p w14:paraId="4B5ACBB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5825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37751E5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1E068F72">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7</w:t>
            </w:r>
          </w:p>
        </w:tc>
        <w:tc>
          <w:tcPr>
            <w:tcW w:w="5529" w:type="dxa"/>
            <w:noWrap w:val="0"/>
            <w:vAlign w:val="center"/>
          </w:tcPr>
          <w:p w14:paraId="220BE14C">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与同事或师生发生言语冲突、肢体冲突</w:t>
            </w:r>
          </w:p>
        </w:tc>
        <w:tc>
          <w:tcPr>
            <w:tcW w:w="2156" w:type="dxa"/>
            <w:noWrap w:val="0"/>
            <w:vAlign w:val="center"/>
          </w:tcPr>
          <w:p w14:paraId="26BBA876">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每人每次扣2分</w:t>
            </w:r>
          </w:p>
        </w:tc>
        <w:tc>
          <w:tcPr>
            <w:tcW w:w="639" w:type="dxa"/>
            <w:noWrap w:val="0"/>
            <w:vAlign w:val="center"/>
          </w:tcPr>
          <w:p w14:paraId="53C497E2">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B75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0EFE3432">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18417DFF">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8</w:t>
            </w:r>
          </w:p>
        </w:tc>
        <w:tc>
          <w:tcPr>
            <w:tcW w:w="5529" w:type="dxa"/>
            <w:noWrap w:val="0"/>
            <w:vAlign w:val="center"/>
          </w:tcPr>
          <w:p w14:paraId="78D7E0B3">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无故旷工不请假，影响工作</w:t>
            </w:r>
          </w:p>
        </w:tc>
        <w:tc>
          <w:tcPr>
            <w:tcW w:w="2156" w:type="dxa"/>
            <w:noWrap w:val="0"/>
            <w:vAlign w:val="center"/>
          </w:tcPr>
          <w:p w14:paraId="7AD7B332">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8"/>
                <w:sz w:val="24"/>
                <w:szCs w:val="24"/>
              </w:rPr>
              <w:t>每人每次扣4分</w:t>
            </w:r>
          </w:p>
        </w:tc>
        <w:tc>
          <w:tcPr>
            <w:tcW w:w="639" w:type="dxa"/>
            <w:noWrap w:val="0"/>
            <w:vAlign w:val="center"/>
          </w:tcPr>
          <w:p w14:paraId="70B4758B">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7BBB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tcBorders>
            <w:noWrap w:val="0"/>
            <w:vAlign w:val="center"/>
          </w:tcPr>
          <w:p w14:paraId="53A96900">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38F813B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9</w:t>
            </w:r>
          </w:p>
        </w:tc>
        <w:tc>
          <w:tcPr>
            <w:tcW w:w="5529" w:type="dxa"/>
            <w:noWrap w:val="0"/>
            <w:vAlign w:val="center"/>
          </w:tcPr>
          <w:p w14:paraId="6E88953C">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员工发生违法、违规、违纪行为</w:t>
            </w:r>
          </w:p>
        </w:tc>
        <w:tc>
          <w:tcPr>
            <w:tcW w:w="2156" w:type="dxa"/>
            <w:noWrap w:val="0"/>
            <w:vAlign w:val="center"/>
          </w:tcPr>
          <w:p w14:paraId="016570B1">
            <w:pPr>
              <w:pStyle w:val="269"/>
              <w:pageBreakBefore w:val="0"/>
              <w:kinsoku/>
              <w:wordWrap/>
              <w:overflowPunct/>
              <w:topLinePunct w:val="0"/>
              <w:bidi w:val="0"/>
              <w:spacing w:line="260" w:lineRule="exact"/>
              <w:ind w:left="0" w:leftChars="0" w:right="0" w:firstLine="5"/>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9"/>
                <w:sz w:val="24"/>
                <w:szCs w:val="24"/>
              </w:rPr>
              <w:t>每人每次扣5-10</w:t>
            </w:r>
            <w:r>
              <w:rPr>
                <w:rFonts w:hint="eastAsia" w:ascii="仿宋" w:hAnsi="仿宋" w:eastAsia="仿宋" w:cs="仿宋"/>
                <w:snapToGrid w:val="0"/>
                <w:color w:val="000000"/>
                <w:spacing w:val="6"/>
                <w:sz w:val="24"/>
                <w:szCs w:val="24"/>
              </w:rPr>
              <w:t>分，并辞退相关员</w:t>
            </w:r>
            <w:r>
              <w:rPr>
                <w:rFonts w:hint="eastAsia" w:ascii="仿宋" w:hAnsi="仿宋" w:eastAsia="仿宋" w:cs="仿宋"/>
                <w:snapToGrid w:val="0"/>
                <w:color w:val="000000"/>
                <w:sz w:val="24"/>
                <w:szCs w:val="24"/>
              </w:rPr>
              <w:t>工</w:t>
            </w:r>
          </w:p>
        </w:tc>
        <w:tc>
          <w:tcPr>
            <w:tcW w:w="639" w:type="dxa"/>
            <w:noWrap w:val="0"/>
            <w:vAlign w:val="center"/>
          </w:tcPr>
          <w:p w14:paraId="587B54B6">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2096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restart"/>
            <w:tcBorders>
              <w:bottom w:val="nil"/>
            </w:tcBorders>
            <w:noWrap w:val="0"/>
            <w:vAlign w:val="center"/>
          </w:tcPr>
          <w:p w14:paraId="2CDEEEDE">
            <w:pPr>
              <w:pStyle w:val="269"/>
              <w:pageBreakBefore w:val="0"/>
              <w:kinsoku/>
              <w:wordWrap/>
              <w:overflowPunct/>
              <w:topLinePunct w:val="0"/>
              <w:bidi w:val="0"/>
              <w:spacing w:line="260" w:lineRule="exact"/>
              <w:ind w:left="0" w:leftChars="0" w:right="0" w:firstLine="3"/>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绿化</w:t>
            </w:r>
            <w:r>
              <w:rPr>
                <w:rFonts w:hint="eastAsia" w:ascii="仿宋" w:hAnsi="仿宋" w:eastAsia="仿宋" w:cs="仿宋"/>
                <w:snapToGrid w:val="0"/>
                <w:color w:val="000000"/>
                <w:spacing w:val="-5"/>
                <w:sz w:val="24"/>
                <w:szCs w:val="24"/>
              </w:rPr>
              <w:t>养护</w:t>
            </w:r>
            <w:r>
              <w:rPr>
                <w:rFonts w:hint="eastAsia" w:ascii="仿宋" w:hAnsi="仿宋" w:eastAsia="仿宋" w:cs="仿宋"/>
                <w:snapToGrid w:val="0"/>
                <w:color w:val="000000"/>
                <w:spacing w:val="2"/>
                <w:sz w:val="24"/>
                <w:szCs w:val="24"/>
              </w:rPr>
              <w:t>工作</w:t>
            </w:r>
          </w:p>
        </w:tc>
        <w:tc>
          <w:tcPr>
            <w:tcW w:w="585" w:type="dxa"/>
            <w:noWrap w:val="0"/>
            <w:vAlign w:val="center"/>
          </w:tcPr>
          <w:p w14:paraId="7EAC96E0">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1</w:t>
            </w:r>
          </w:p>
        </w:tc>
        <w:tc>
          <w:tcPr>
            <w:tcW w:w="5529" w:type="dxa"/>
            <w:noWrap w:val="0"/>
            <w:vAlign w:val="center"/>
          </w:tcPr>
          <w:p w14:paraId="60607555">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各类草坪，修剪、浇水不及时，影响美观的</w:t>
            </w:r>
          </w:p>
        </w:tc>
        <w:tc>
          <w:tcPr>
            <w:tcW w:w="2156" w:type="dxa"/>
            <w:noWrap w:val="0"/>
            <w:vAlign w:val="center"/>
          </w:tcPr>
          <w:p w14:paraId="16149AD7">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39" w:type="dxa"/>
            <w:noWrap w:val="0"/>
            <w:vAlign w:val="center"/>
          </w:tcPr>
          <w:p w14:paraId="6B5E802D">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7ADE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03BE0C66">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12353F29">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w:t>
            </w:r>
          </w:p>
        </w:tc>
        <w:tc>
          <w:tcPr>
            <w:tcW w:w="5529" w:type="dxa"/>
            <w:noWrap w:val="0"/>
            <w:vAlign w:val="center"/>
          </w:tcPr>
          <w:p w14:paraId="15D296C1">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各类草坪裸露黄土的，没有及时补栽、补种的</w:t>
            </w:r>
          </w:p>
        </w:tc>
        <w:tc>
          <w:tcPr>
            <w:tcW w:w="2156" w:type="dxa"/>
            <w:noWrap w:val="0"/>
            <w:vAlign w:val="center"/>
          </w:tcPr>
          <w:p w14:paraId="69EBDB77">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39" w:type="dxa"/>
            <w:noWrap w:val="0"/>
            <w:vAlign w:val="center"/>
          </w:tcPr>
          <w:p w14:paraId="38BB23BA">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7663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0F41AAD6">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4F5DDCB9">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w:t>
            </w:r>
          </w:p>
        </w:tc>
        <w:tc>
          <w:tcPr>
            <w:tcW w:w="5529" w:type="dxa"/>
            <w:noWrap w:val="0"/>
            <w:vAlign w:val="center"/>
          </w:tcPr>
          <w:p w14:paraId="15E3F1C5">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8"/>
                <w:sz w:val="24"/>
                <w:szCs w:val="24"/>
              </w:rPr>
              <w:t>浇水时无专人看管的</w:t>
            </w:r>
          </w:p>
        </w:tc>
        <w:tc>
          <w:tcPr>
            <w:tcW w:w="2156" w:type="dxa"/>
            <w:noWrap w:val="0"/>
            <w:vAlign w:val="center"/>
          </w:tcPr>
          <w:p w14:paraId="0E54E4D9">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每次扣1分</w:t>
            </w:r>
          </w:p>
        </w:tc>
        <w:tc>
          <w:tcPr>
            <w:tcW w:w="639" w:type="dxa"/>
            <w:noWrap w:val="0"/>
            <w:vAlign w:val="center"/>
          </w:tcPr>
          <w:p w14:paraId="05DD76EF">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249C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09DBCC1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68C95F43">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4</w:t>
            </w:r>
          </w:p>
        </w:tc>
        <w:tc>
          <w:tcPr>
            <w:tcW w:w="5529" w:type="dxa"/>
            <w:noWrap w:val="0"/>
            <w:vAlign w:val="center"/>
          </w:tcPr>
          <w:p w14:paraId="4D5F664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各类植物长势不好，影响美观的</w:t>
            </w:r>
          </w:p>
        </w:tc>
        <w:tc>
          <w:tcPr>
            <w:tcW w:w="2156" w:type="dxa"/>
            <w:noWrap w:val="0"/>
            <w:vAlign w:val="center"/>
          </w:tcPr>
          <w:p w14:paraId="39C0E007">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每次扣1分</w:t>
            </w:r>
          </w:p>
        </w:tc>
        <w:tc>
          <w:tcPr>
            <w:tcW w:w="639" w:type="dxa"/>
            <w:noWrap w:val="0"/>
            <w:vAlign w:val="center"/>
          </w:tcPr>
          <w:p w14:paraId="0AE1B0F5">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2FC0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4D9D8891">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6EB3CCB9">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5</w:t>
            </w:r>
          </w:p>
        </w:tc>
        <w:tc>
          <w:tcPr>
            <w:tcW w:w="5529" w:type="dxa"/>
            <w:noWrap w:val="0"/>
            <w:vAlign w:val="center"/>
          </w:tcPr>
          <w:p w14:paraId="4BF6C46F">
            <w:pPr>
              <w:pStyle w:val="269"/>
              <w:pageBreakBefore w:val="0"/>
              <w:kinsoku/>
              <w:wordWrap/>
              <w:overflowPunct/>
              <w:topLinePunct w:val="0"/>
              <w:bidi w:val="0"/>
              <w:spacing w:line="260" w:lineRule="exact"/>
              <w:ind w:left="0" w:leftChars="0" w:right="0" w:firstLine="3"/>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绿地内有影响景观的杂物、垃圾等，有树挂、乱</w:t>
            </w:r>
            <w:r>
              <w:rPr>
                <w:rFonts w:hint="eastAsia" w:ascii="仿宋" w:hAnsi="仿宋" w:eastAsia="仿宋" w:cs="仿宋"/>
                <w:snapToGrid w:val="0"/>
                <w:color w:val="000000"/>
                <w:spacing w:val="2"/>
                <w:sz w:val="24"/>
                <w:szCs w:val="24"/>
              </w:rPr>
              <w:t>拴乱挂等现象，有改变用途和破坏、践踏、占用现象的</w:t>
            </w:r>
          </w:p>
        </w:tc>
        <w:tc>
          <w:tcPr>
            <w:tcW w:w="2156" w:type="dxa"/>
            <w:noWrap w:val="0"/>
            <w:vAlign w:val="center"/>
          </w:tcPr>
          <w:p w14:paraId="60345C68">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每次扣1分</w:t>
            </w:r>
          </w:p>
        </w:tc>
        <w:tc>
          <w:tcPr>
            <w:tcW w:w="639" w:type="dxa"/>
            <w:noWrap w:val="0"/>
            <w:vAlign w:val="center"/>
          </w:tcPr>
          <w:p w14:paraId="2E4FE0B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12C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486FA7A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370C47B1">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6</w:t>
            </w:r>
          </w:p>
        </w:tc>
        <w:tc>
          <w:tcPr>
            <w:tcW w:w="5529" w:type="dxa"/>
            <w:noWrap w:val="0"/>
            <w:vAlign w:val="center"/>
          </w:tcPr>
          <w:p w14:paraId="79BF54DE">
            <w:pPr>
              <w:pStyle w:val="269"/>
              <w:pageBreakBefore w:val="0"/>
              <w:kinsoku/>
              <w:wordWrap/>
              <w:overflowPunct/>
              <w:topLinePunct w:val="0"/>
              <w:bidi w:val="0"/>
              <w:spacing w:line="260" w:lineRule="exact"/>
              <w:ind w:left="0" w:leftChars="0" w:right="0" w:firstLine="107"/>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9"/>
                <w:sz w:val="24"/>
                <w:szCs w:val="24"/>
              </w:rPr>
              <w:t>根据植物生长习性及环境温度，对植物没有采取相关保</w:t>
            </w:r>
            <w:r>
              <w:rPr>
                <w:rFonts w:hint="eastAsia" w:ascii="仿宋" w:hAnsi="仿宋" w:eastAsia="仿宋" w:cs="仿宋"/>
                <w:snapToGrid w:val="0"/>
                <w:color w:val="000000"/>
                <w:spacing w:val="7"/>
                <w:sz w:val="24"/>
                <w:szCs w:val="24"/>
              </w:rPr>
              <w:t>护措施，如北方地区冬季没有进行树干包裹等；</w:t>
            </w:r>
          </w:p>
        </w:tc>
        <w:tc>
          <w:tcPr>
            <w:tcW w:w="2156" w:type="dxa"/>
            <w:noWrap w:val="0"/>
            <w:vAlign w:val="center"/>
          </w:tcPr>
          <w:p w14:paraId="08AA3787">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每次扣1分</w:t>
            </w:r>
          </w:p>
        </w:tc>
        <w:tc>
          <w:tcPr>
            <w:tcW w:w="639" w:type="dxa"/>
            <w:noWrap w:val="0"/>
            <w:vAlign w:val="center"/>
          </w:tcPr>
          <w:p w14:paraId="5338245D">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352BA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5406F091">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60D5B7E1">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7</w:t>
            </w:r>
          </w:p>
        </w:tc>
        <w:tc>
          <w:tcPr>
            <w:tcW w:w="5529" w:type="dxa"/>
            <w:noWrap w:val="0"/>
            <w:vAlign w:val="center"/>
          </w:tcPr>
          <w:p w14:paraId="7A7A3F5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大风、暴雨等恶劣天气来临前，没有做好行道树以及浅根</w:t>
            </w:r>
            <w:r>
              <w:rPr>
                <w:rFonts w:hint="eastAsia" w:ascii="仿宋" w:hAnsi="仿宋" w:eastAsia="仿宋" w:cs="仿宋"/>
                <w:snapToGrid w:val="0"/>
                <w:color w:val="000000"/>
                <w:spacing w:val="8"/>
                <w:sz w:val="24"/>
                <w:szCs w:val="24"/>
              </w:rPr>
              <w:t>类树种的防风修剪及加固的</w:t>
            </w:r>
          </w:p>
        </w:tc>
        <w:tc>
          <w:tcPr>
            <w:tcW w:w="2156" w:type="dxa"/>
            <w:noWrap w:val="0"/>
            <w:vAlign w:val="center"/>
          </w:tcPr>
          <w:p w14:paraId="0D390CEB">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39" w:type="dxa"/>
            <w:noWrap w:val="0"/>
            <w:vAlign w:val="center"/>
          </w:tcPr>
          <w:p w14:paraId="39C91FD7">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771B9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tcBorders>
            <w:noWrap w:val="0"/>
            <w:vAlign w:val="center"/>
          </w:tcPr>
          <w:p w14:paraId="7B52B8E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6C0C973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8</w:t>
            </w:r>
          </w:p>
        </w:tc>
        <w:tc>
          <w:tcPr>
            <w:tcW w:w="5529" w:type="dxa"/>
            <w:noWrap w:val="0"/>
            <w:vAlign w:val="center"/>
          </w:tcPr>
          <w:p w14:paraId="442B6966">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病虫害防治不及时的，造成病虫害蔓延的</w:t>
            </w:r>
          </w:p>
        </w:tc>
        <w:tc>
          <w:tcPr>
            <w:tcW w:w="2156" w:type="dxa"/>
            <w:noWrap w:val="0"/>
            <w:vAlign w:val="center"/>
          </w:tcPr>
          <w:p w14:paraId="5BB2263B">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每次扣5分</w:t>
            </w:r>
          </w:p>
        </w:tc>
        <w:tc>
          <w:tcPr>
            <w:tcW w:w="639" w:type="dxa"/>
            <w:noWrap w:val="0"/>
            <w:vAlign w:val="center"/>
          </w:tcPr>
          <w:p w14:paraId="2783E1B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3852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restart"/>
            <w:tcBorders>
              <w:bottom w:val="nil"/>
            </w:tcBorders>
            <w:noWrap w:val="0"/>
            <w:vAlign w:val="center"/>
          </w:tcPr>
          <w:p w14:paraId="2F805F9C">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p w14:paraId="37157B22">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p w14:paraId="3BE44073">
            <w:pPr>
              <w:pStyle w:val="269"/>
              <w:pageBreakBefore w:val="0"/>
              <w:kinsoku/>
              <w:wordWrap/>
              <w:overflowPunct/>
              <w:topLinePunct w:val="0"/>
              <w:bidi w:val="0"/>
              <w:spacing w:line="260" w:lineRule="exact"/>
              <w:ind w:left="0" w:leftChars="0" w:right="0" w:firstLine="1"/>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9"/>
                <w:sz w:val="24"/>
                <w:szCs w:val="24"/>
              </w:rPr>
              <w:t>工作</w:t>
            </w:r>
            <w:r>
              <w:rPr>
                <w:rFonts w:hint="eastAsia" w:ascii="仿宋" w:hAnsi="仿宋" w:eastAsia="仿宋" w:cs="仿宋"/>
                <w:snapToGrid w:val="0"/>
                <w:color w:val="000000"/>
                <w:sz w:val="24"/>
                <w:szCs w:val="24"/>
              </w:rPr>
              <w:t>纪律</w:t>
            </w:r>
          </w:p>
        </w:tc>
        <w:tc>
          <w:tcPr>
            <w:tcW w:w="585" w:type="dxa"/>
            <w:noWrap w:val="0"/>
            <w:vAlign w:val="center"/>
          </w:tcPr>
          <w:p w14:paraId="44EF5860">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1</w:t>
            </w:r>
          </w:p>
        </w:tc>
        <w:tc>
          <w:tcPr>
            <w:tcW w:w="5529" w:type="dxa"/>
            <w:noWrap w:val="0"/>
            <w:vAlign w:val="center"/>
          </w:tcPr>
          <w:p w14:paraId="203B4DFE">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各类人员抽查发现有不在岗、不在位的</w:t>
            </w:r>
          </w:p>
        </w:tc>
        <w:tc>
          <w:tcPr>
            <w:tcW w:w="2156" w:type="dxa"/>
            <w:noWrap w:val="0"/>
            <w:vAlign w:val="center"/>
          </w:tcPr>
          <w:p w14:paraId="3CE568E8">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每人每次扣2分</w:t>
            </w:r>
          </w:p>
        </w:tc>
        <w:tc>
          <w:tcPr>
            <w:tcW w:w="639" w:type="dxa"/>
            <w:noWrap w:val="0"/>
            <w:vAlign w:val="center"/>
          </w:tcPr>
          <w:p w14:paraId="5311A563">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7DA2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bottom w:val="nil"/>
            </w:tcBorders>
            <w:noWrap w:val="0"/>
            <w:vAlign w:val="center"/>
          </w:tcPr>
          <w:p w14:paraId="3BF93F0E">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01DED40C">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w:t>
            </w:r>
          </w:p>
        </w:tc>
        <w:tc>
          <w:tcPr>
            <w:tcW w:w="5529" w:type="dxa"/>
            <w:noWrap w:val="0"/>
            <w:vAlign w:val="center"/>
          </w:tcPr>
          <w:p w14:paraId="6F02DDD2">
            <w:pPr>
              <w:pStyle w:val="269"/>
              <w:pageBreakBefore w:val="0"/>
              <w:kinsoku/>
              <w:wordWrap/>
              <w:overflowPunct/>
              <w:topLinePunct w:val="0"/>
              <w:bidi w:val="0"/>
              <w:spacing w:line="260" w:lineRule="exact"/>
              <w:ind w:left="0" w:leftChars="0" w:right="0" w:firstLine="98"/>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8"/>
                <w:sz w:val="24"/>
                <w:szCs w:val="24"/>
              </w:rPr>
              <w:t>有害绿化药剂、肥料使用没有进行公示，废弃物处理不</w:t>
            </w:r>
            <w:r>
              <w:rPr>
                <w:rFonts w:hint="eastAsia" w:ascii="仿宋" w:hAnsi="仿宋" w:eastAsia="仿宋" w:cs="仿宋"/>
                <w:snapToGrid w:val="0"/>
                <w:color w:val="000000"/>
                <w:spacing w:val="5"/>
                <w:sz w:val="24"/>
                <w:szCs w:val="24"/>
              </w:rPr>
              <w:t>符合相关规定；</w:t>
            </w:r>
          </w:p>
        </w:tc>
        <w:tc>
          <w:tcPr>
            <w:tcW w:w="2156" w:type="dxa"/>
            <w:noWrap w:val="0"/>
            <w:vAlign w:val="center"/>
          </w:tcPr>
          <w:p w14:paraId="531E2FBF">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每次扣1分</w:t>
            </w:r>
          </w:p>
        </w:tc>
        <w:tc>
          <w:tcPr>
            <w:tcW w:w="639" w:type="dxa"/>
            <w:noWrap w:val="0"/>
            <w:vAlign w:val="center"/>
          </w:tcPr>
          <w:p w14:paraId="3AAC96C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BA8F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29" w:type="dxa"/>
            <w:vMerge w:val="continue"/>
            <w:tcBorders>
              <w:top w:val="nil"/>
            </w:tcBorders>
            <w:noWrap w:val="0"/>
            <w:vAlign w:val="center"/>
          </w:tcPr>
          <w:p w14:paraId="2CEB29AF">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85" w:type="dxa"/>
            <w:noWrap w:val="0"/>
            <w:vAlign w:val="center"/>
          </w:tcPr>
          <w:p w14:paraId="72C920D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w:t>
            </w:r>
          </w:p>
        </w:tc>
        <w:tc>
          <w:tcPr>
            <w:tcW w:w="5529" w:type="dxa"/>
            <w:noWrap w:val="0"/>
            <w:vAlign w:val="center"/>
          </w:tcPr>
          <w:p w14:paraId="51F1CBBA">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没有设置或及时更改区域管理人、植物铭牌；铭牌内容不</w:t>
            </w:r>
            <w:r>
              <w:rPr>
                <w:rFonts w:hint="eastAsia" w:ascii="仿宋" w:hAnsi="仿宋" w:eastAsia="仿宋" w:cs="仿宋"/>
                <w:snapToGrid w:val="0"/>
                <w:color w:val="000000"/>
                <w:sz w:val="24"/>
                <w:szCs w:val="24"/>
              </w:rPr>
              <w:t>准确</w:t>
            </w:r>
          </w:p>
        </w:tc>
        <w:tc>
          <w:tcPr>
            <w:tcW w:w="2156" w:type="dxa"/>
            <w:noWrap w:val="0"/>
            <w:vAlign w:val="center"/>
          </w:tcPr>
          <w:p w14:paraId="1FC63524">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39" w:type="dxa"/>
            <w:noWrap w:val="0"/>
            <w:vAlign w:val="center"/>
          </w:tcPr>
          <w:p w14:paraId="78A24F25">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bl>
    <w:p w14:paraId="18D9F825">
      <w:pPr>
        <w:pageBreakBefore w:val="0"/>
        <w:kinsoku/>
        <w:wordWrap/>
        <w:overflowPunct/>
        <w:topLinePunct w:val="0"/>
        <w:bidi w:val="0"/>
        <w:spacing w:line="260" w:lineRule="exact"/>
        <w:ind w:left="0" w:leftChars="0" w:right="0"/>
        <w:jc w:val="both"/>
        <w:rPr>
          <w:rFonts w:hint="eastAsia" w:ascii="仿宋" w:hAnsi="仿宋" w:eastAsia="仿宋" w:cs="仿宋"/>
          <w:sz w:val="28"/>
          <w:szCs w:val="28"/>
        </w:rPr>
      </w:pPr>
    </w:p>
    <w:p w14:paraId="53A247D9">
      <w:pPr>
        <w:pageBreakBefore w:val="0"/>
        <w:kinsoku/>
        <w:wordWrap/>
        <w:overflowPunct/>
        <w:topLinePunct w:val="0"/>
        <w:bidi w:val="0"/>
        <w:spacing w:line="260" w:lineRule="exact"/>
        <w:ind w:left="0" w:leftChars="0" w:right="0"/>
        <w:jc w:val="both"/>
        <w:rPr>
          <w:rFonts w:hint="eastAsia" w:ascii="仿宋" w:hAnsi="仿宋" w:eastAsia="仿宋" w:cs="仿宋"/>
          <w:sz w:val="28"/>
          <w:szCs w:val="28"/>
        </w:rPr>
        <w:sectPr>
          <w:footerReference r:id="rId12" w:type="default"/>
          <w:pgSz w:w="11900" w:h="16840"/>
          <w:pgMar w:top="1434" w:right="1434" w:bottom="1432" w:left="1434" w:header="0" w:footer="1216" w:gutter="0"/>
          <w:pgBorders>
            <w:top w:val="none" w:sz="0" w:space="0"/>
            <w:left w:val="none" w:sz="0" w:space="0"/>
            <w:bottom w:val="none" w:sz="0" w:space="0"/>
            <w:right w:val="none" w:sz="0" w:space="0"/>
          </w:pgBorders>
          <w:pgNumType w:fmt="decimal"/>
          <w:cols w:space="720" w:num="1"/>
        </w:sectPr>
      </w:pPr>
    </w:p>
    <w:p w14:paraId="77FB19A4">
      <w:pPr>
        <w:pageBreakBefore w:val="0"/>
        <w:kinsoku/>
        <w:wordWrap/>
        <w:overflowPunct/>
        <w:topLinePunct w:val="0"/>
        <w:bidi w:val="0"/>
        <w:spacing w:line="260" w:lineRule="exact"/>
        <w:ind w:left="0" w:leftChars="0" w:right="0"/>
        <w:jc w:val="both"/>
        <w:rPr>
          <w:rFonts w:hint="eastAsia" w:ascii="仿宋" w:hAnsi="仿宋" w:eastAsia="仿宋" w:cs="仿宋"/>
          <w:sz w:val="28"/>
          <w:szCs w:val="28"/>
        </w:rPr>
      </w:pP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592"/>
        <w:gridCol w:w="5508"/>
        <w:gridCol w:w="2178"/>
        <w:gridCol w:w="652"/>
      </w:tblGrid>
      <w:tr w14:paraId="048B3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restart"/>
            <w:tcBorders>
              <w:bottom w:val="nil"/>
            </w:tcBorders>
            <w:noWrap w:val="0"/>
            <w:vAlign w:val="center"/>
          </w:tcPr>
          <w:p w14:paraId="4690E3FB">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3961644E">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4</w:t>
            </w:r>
          </w:p>
        </w:tc>
        <w:tc>
          <w:tcPr>
            <w:tcW w:w="5508" w:type="dxa"/>
            <w:noWrap w:val="0"/>
            <w:vAlign w:val="center"/>
          </w:tcPr>
          <w:p w14:paraId="5FC005EC">
            <w:pPr>
              <w:pStyle w:val="269"/>
              <w:pageBreakBefore w:val="0"/>
              <w:kinsoku/>
              <w:wordWrap/>
              <w:overflowPunct/>
              <w:topLinePunct w:val="0"/>
              <w:bidi w:val="0"/>
              <w:spacing w:line="260" w:lineRule="exact"/>
              <w:ind w:left="0" w:leftChars="0" w:right="0" w:firstLine="3"/>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没有设立古树名木档案，宝贵树木登记材料及统一的保护</w:t>
            </w:r>
            <w:r>
              <w:rPr>
                <w:rFonts w:hint="eastAsia" w:ascii="仿宋" w:hAnsi="仿宋" w:eastAsia="仿宋" w:cs="仿宋"/>
                <w:snapToGrid w:val="0"/>
                <w:color w:val="000000"/>
                <w:spacing w:val="4"/>
                <w:sz w:val="24"/>
                <w:szCs w:val="24"/>
              </w:rPr>
              <w:t>标志，如保护标牌、保护宣传牌</w:t>
            </w:r>
          </w:p>
        </w:tc>
        <w:tc>
          <w:tcPr>
            <w:tcW w:w="2178" w:type="dxa"/>
            <w:noWrap w:val="0"/>
            <w:vAlign w:val="center"/>
          </w:tcPr>
          <w:p w14:paraId="00034B1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每处扣1分</w:t>
            </w:r>
          </w:p>
        </w:tc>
        <w:tc>
          <w:tcPr>
            <w:tcW w:w="652" w:type="dxa"/>
            <w:noWrap w:val="0"/>
            <w:vAlign w:val="center"/>
          </w:tcPr>
          <w:p w14:paraId="6EA377C3">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2BE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bottom w:val="nil"/>
            </w:tcBorders>
            <w:noWrap w:val="0"/>
            <w:vAlign w:val="center"/>
          </w:tcPr>
          <w:p w14:paraId="58F7E09F">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07521421">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5</w:t>
            </w:r>
          </w:p>
        </w:tc>
        <w:tc>
          <w:tcPr>
            <w:tcW w:w="5508" w:type="dxa"/>
            <w:noWrap w:val="0"/>
            <w:vAlign w:val="center"/>
          </w:tcPr>
          <w:p w14:paraId="056D16F8">
            <w:pPr>
              <w:pStyle w:val="269"/>
              <w:pageBreakBefore w:val="0"/>
              <w:kinsoku/>
              <w:wordWrap/>
              <w:overflowPunct/>
              <w:topLinePunct w:val="0"/>
              <w:bidi w:val="0"/>
              <w:spacing w:line="260" w:lineRule="exact"/>
              <w:ind w:left="0" w:leftChars="0" w:right="0" w:hanging="1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4"/>
                <w:sz w:val="24"/>
                <w:szCs w:val="24"/>
              </w:rPr>
              <w:t>假山、水体等，没有设置防护设施及安全提示；景观中可</w:t>
            </w:r>
            <w:r>
              <w:rPr>
                <w:rFonts w:hint="eastAsia" w:ascii="仿宋" w:hAnsi="仿宋" w:eastAsia="仿宋" w:cs="仿宋"/>
                <w:snapToGrid w:val="0"/>
                <w:color w:val="000000"/>
                <w:spacing w:val="7"/>
                <w:sz w:val="24"/>
                <w:szCs w:val="24"/>
              </w:rPr>
              <w:t>能会对师生构成安全隐患的，</w:t>
            </w:r>
          </w:p>
        </w:tc>
        <w:tc>
          <w:tcPr>
            <w:tcW w:w="2178" w:type="dxa"/>
            <w:noWrap w:val="0"/>
            <w:vAlign w:val="center"/>
          </w:tcPr>
          <w:p w14:paraId="03C2D9C6">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52" w:type="dxa"/>
            <w:noWrap w:val="0"/>
            <w:vAlign w:val="center"/>
          </w:tcPr>
          <w:p w14:paraId="59CC9BED">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958F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bottom w:val="nil"/>
            </w:tcBorders>
            <w:noWrap w:val="0"/>
            <w:vAlign w:val="center"/>
          </w:tcPr>
          <w:p w14:paraId="16F6BAD7">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0C4C03CD">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6</w:t>
            </w:r>
          </w:p>
        </w:tc>
        <w:tc>
          <w:tcPr>
            <w:tcW w:w="5508" w:type="dxa"/>
            <w:noWrap w:val="0"/>
            <w:vAlign w:val="center"/>
          </w:tcPr>
          <w:p w14:paraId="2D2A7653">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7"/>
                <w:sz w:val="24"/>
                <w:szCs w:val="24"/>
              </w:rPr>
              <w:t>没有校园绿化档案，绿化养护工作记录</w:t>
            </w:r>
          </w:p>
        </w:tc>
        <w:tc>
          <w:tcPr>
            <w:tcW w:w="2178" w:type="dxa"/>
            <w:noWrap w:val="0"/>
            <w:vAlign w:val="center"/>
          </w:tcPr>
          <w:p w14:paraId="349D6766">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52" w:type="dxa"/>
            <w:noWrap w:val="0"/>
            <w:vAlign w:val="center"/>
          </w:tcPr>
          <w:p w14:paraId="23BE0B08">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7E8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bottom w:val="nil"/>
            </w:tcBorders>
            <w:noWrap w:val="0"/>
            <w:vAlign w:val="center"/>
          </w:tcPr>
          <w:p w14:paraId="1074CB9A">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0401D06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7</w:t>
            </w:r>
          </w:p>
        </w:tc>
        <w:tc>
          <w:tcPr>
            <w:tcW w:w="5508" w:type="dxa"/>
            <w:noWrap w:val="0"/>
            <w:vAlign w:val="center"/>
          </w:tcPr>
          <w:p w14:paraId="7589224C">
            <w:pPr>
              <w:pStyle w:val="269"/>
              <w:pageBreakBefore w:val="0"/>
              <w:kinsoku/>
              <w:wordWrap/>
              <w:overflowPunct/>
              <w:topLinePunct w:val="0"/>
              <w:bidi w:val="0"/>
              <w:spacing w:line="260" w:lineRule="exact"/>
              <w:ind w:left="0" w:leftChars="0" w:right="0" w:hanging="9"/>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6"/>
                <w:sz w:val="24"/>
                <w:szCs w:val="24"/>
              </w:rPr>
              <w:t>没有按学校要求运用各种载体开展绿化宣传活动，引导师</w:t>
            </w:r>
            <w:r>
              <w:rPr>
                <w:rFonts w:hint="eastAsia" w:ascii="仿宋" w:hAnsi="仿宋" w:eastAsia="仿宋" w:cs="仿宋"/>
                <w:snapToGrid w:val="0"/>
                <w:color w:val="000000"/>
                <w:spacing w:val="7"/>
                <w:sz w:val="24"/>
                <w:szCs w:val="24"/>
              </w:rPr>
              <w:t>生积极参与校园绿化建设，开展劳动育人活动</w:t>
            </w:r>
          </w:p>
        </w:tc>
        <w:tc>
          <w:tcPr>
            <w:tcW w:w="2178" w:type="dxa"/>
            <w:noWrap w:val="0"/>
            <w:vAlign w:val="center"/>
          </w:tcPr>
          <w:p w14:paraId="126E27C5">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每次扣2分</w:t>
            </w:r>
          </w:p>
        </w:tc>
        <w:tc>
          <w:tcPr>
            <w:tcW w:w="652" w:type="dxa"/>
            <w:noWrap w:val="0"/>
            <w:vAlign w:val="center"/>
          </w:tcPr>
          <w:p w14:paraId="1D6D82E2">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9D7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tcBorders>
            <w:noWrap w:val="0"/>
            <w:vAlign w:val="center"/>
          </w:tcPr>
          <w:p w14:paraId="6BE6EADC">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0894B6C9">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8</w:t>
            </w:r>
          </w:p>
        </w:tc>
        <w:tc>
          <w:tcPr>
            <w:tcW w:w="5508" w:type="dxa"/>
            <w:noWrap w:val="0"/>
            <w:vAlign w:val="center"/>
          </w:tcPr>
          <w:p w14:paraId="7D3A770D">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8"/>
                <w:sz w:val="24"/>
                <w:szCs w:val="24"/>
              </w:rPr>
              <w:t>工作中与服务对象发生争吵的</w:t>
            </w:r>
          </w:p>
        </w:tc>
        <w:tc>
          <w:tcPr>
            <w:tcW w:w="2178" w:type="dxa"/>
            <w:noWrap w:val="0"/>
            <w:vAlign w:val="center"/>
          </w:tcPr>
          <w:p w14:paraId="3AF75CEB">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每人每次扣2分</w:t>
            </w:r>
          </w:p>
        </w:tc>
        <w:tc>
          <w:tcPr>
            <w:tcW w:w="652" w:type="dxa"/>
            <w:noWrap w:val="0"/>
            <w:vAlign w:val="center"/>
          </w:tcPr>
          <w:p w14:paraId="6ADCC21C">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CCA6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restart"/>
            <w:tcBorders>
              <w:bottom w:val="nil"/>
            </w:tcBorders>
            <w:noWrap w:val="0"/>
            <w:vAlign w:val="center"/>
          </w:tcPr>
          <w:p w14:paraId="2797B03C">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其他</w:t>
            </w:r>
          </w:p>
        </w:tc>
        <w:tc>
          <w:tcPr>
            <w:tcW w:w="592" w:type="dxa"/>
            <w:noWrap w:val="0"/>
            <w:vAlign w:val="center"/>
          </w:tcPr>
          <w:p w14:paraId="6445FD6A">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1</w:t>
            </w:r>
          </w:p>
        </w:tc>
        <w:tc>
          <w:tcPr>
            <w:tcW w:w="5508" w:type="dxa"/>
            <w:noWrap w:val="0"/>
            <w:vAlign w:val="center"/>
          </w:tcPr>
          <w:p w14:paraId="0D2260BB">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8"/>
                <w:sz w:val="24"/>
                <w:szCs w:val="24"/>
              </w:rPr>
              <w:t>在上级领导巡查期间被批评</w:t>
            </w:r>
          </w:p>
        </w:tc>
        <w:tc>
          <w:tcPr>
            <w:tcW w:w="2178" w:type="dxa"/>
            <w:noWrap w:val="0"/>
            <w:vAlign w:val="center"/>
          </w:tcPr>
          <w:p w14:paraId="14FB0398">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每次扣5分</w:t>
            </w:r>
          </w:p>
        </w:tc>
        <w:tc>
          <w:tcPr>
            <w:tcW w:w="652" w:type="dxa"/>
            <w:noWrap w:val="0"/>
            <w:vAlign w:val="center"/>
          </w:tcPr>
          <w:p w14:paraId="462284E8">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0709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bottom w:val="nil"/>
            </w:tcBorders>
            <w:noWrap w:val="0"/>
            <w:vAlign w:val="center"/>
          </w:tcPr>
          <w:p w14:paraId="45018BD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598682E2">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2</w:t>
            </w:r>
          </w:p>
        </w:tc>
        <w:tc>
          <w:tcPr>
            <w:tcW w:w="5508" w:type="dxa"/>
            <w:noWrap w:val="0"/>
            <w:vAlign w:val="center"/>
          </w:tcPr>
          <w:p w14:paraId="5D654BE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9"/>
                <w:sz w:val="24"/>
                <w:szCs w:val="24"/>
              </w:rPr>
              <w:t>在各级各类检查评比活动中被点名批评或查出问题</w:t>
            </w:r>
          </w:p>
        </w:tc>
        <w:tc>
          <w:tcPr>
            <w:tcW w:w="2178" w:type="dxa"/>
            <w:noWrap w:val="0"/>
            <w:vAlign w:val="center"/>
          </w:tcPr>
          <w:p w14:paraId="30111A60">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每次扣5-10分</w:t>
            </w:r>
          </w:p>
        </w:tc>
        <w:tc>
          <w:tcPr>
            <w:tcW w:w="652" w:type="dxa"/>
            <w:noWrap w:val="0"/>
            <w:vAlign w:val="center"/>
          </w:tcPr>
          <w:p w14:paraId="63D12D84">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5993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vMerge w:val="continue"/>
            <w:tcBorders>
              <w:top w:val="nil"/>
            </w:tcBorders>
            <w:noWrap w:val="0"/>
            <w:vAlign w:val="center"/>
          </w:tcPr>
          <w:p w14:paraId="7546E2E8">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92" w:type="dxa"/>
            <w:noWrap w:val="0"/>
            <w:vAlign w:val="center"/>
          </w:tcPr>
          <w:p w14:paraId="5043F2CD">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z w:val="24"/>
                <w:szCs w:val="24"/>
              </w:rPr>
              <w:t>3</w:t>
            </w:r>
          </w:p>
        </w:tc>
        <w:tc>
          <w:tcPr>
            <w:tcW w:w="5508" w:type="dxa"/>
            <w:noWrap w:val="0"/>
            <w:vAlign w:val="center"/>
          </w:tcPr>
          <w:p w14:paraId="338039C1">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9"/>
                <w:sz w:val="24"/>
                <w:szCs w:val="24"/>
              </w:rPr>
              <w:t>其他不符合物业服务标准和规范的事项</w:t>
            </w:r>
          </w:p>
        </w:tc>
        <w:tc>
          <w:tcPr>
            <w:tcW w:w="2178" w:type="dxa"/>
            <w:noWrap w:val="0"/>
            <w:vAlign w:val="center"/>
          </w:tcPr>
          <w:p w14:paraId="4FF78271">
            <w:pPr>
              <w:pStyle w:val="269"/>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3"/>
                <w:sz w:val="24"/>
                <w:szCs w:val="24"/>
              </w:rPr>
              <w:t>每次扣1-5分</w:t>
            </w:r>
          </w:p>
        </w:tc>
        <w:tc>
          <w:tcPr>
            <w:tcW w:w="652" w:type="dxa"/>
            <w:noWrap w:val="0"/>
            <w:vAlign w:val="center"/>
          </w:tcPr>
          <w:p w14:paraId="00907CF7">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r w14:paraId="1E15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708" w:type="dxa"/>
            <w:noWrap w:val="0"/>
            <w:vAlign w:val="center"/>
          </w:tcPr>
          <w:p w14:paraId="2828A654">
            <w:pPr>
              <w:pStyle w:val="269"/>
              <w:pageBreakBefore w:val="0"/>
              <w:kinsoku/>
              <w:wordWrap/>
              <w:overflowPunct/>
              <w:topLinePunct w:val="0"/>
              <w:bidi w:val="0"/>
              <w:spacing w:line="260" w:lineRule="exact"/>
              <w:ind w:left="0" w:leftChars="0" w:right="0"/>
              <w:jc w:val="center"/>
              <w:rPr>
                <w:rFonts w:hint="eastAsia" w:ascii="仿宋" w:hAnsi="仿宋" w:eastAsia="仿宋" w:cs="仿宋"/>
                <w:snapToGrid w:val="0"/>
                <w:color w:val="000000"/>
                <w:sz w:val="24"/>
                <w:szCs w:val="24"/>
              </w:rPr>
            </w:pPr>
            <w:r>
              <w:rPr>
                <w:rFonts w:hint="eastAsia" w:ascii="仿宋" w:hAnsi="仿宋" w:eastAsia="仿宋" w:cs="仿宋"/>
                <w:snapToGrid w:val="0"/>
                <w:color w:val="000000"/>
                <w:spacing w:val="-1"/>
                <w:sz w:val="24"/>
                <w:szCs w:val="24"/>
              </w:rPr>
              <w:t>合计</w:t>
            </w:r>
          </w:p>
        </w:tc>
        <w:tc>
          <w:tcPr>
            <w:tcW w:w="592" w:type="dxa"/>
            <w:noWrap w:val="0"/>
            <w:vAlign w:val="center"/>
          </w:tcPr>
          <w:p w14:paraId="63B84B2A">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5508" w:type="dxa"/>
            <w:noWrap w:val="0"/>
            <w:vAlign w:val="center"/>
          </w:tcPr>
          <w:p w14:paraId="0A01C3D2">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2178" w:type="dxa"/>
            <w:noWrap w:val="0"/>
            <w:vAlign w:val="center"/>
          </w:tcPr>
          <w:p w14:paraId="02DF8E9D">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c>
          <w:tcPr>
            <w:tcW w:w="652" w:type="dxa"/>
            <w:noWrap w:val="0"/>
            <w:vAlign w:val="center"/>
          </w:tcPr>
          <w:p w14:paraId="1056FCF9">
            <w:pPr>
              <w:pageBreakBefore w:val="0"/>
              <w:kinsoku/>
              <w:wordWrap/>
              <w:overflowPunct/>
              <w:topLinePunct w:val="0"/>
              <w:bidi w:val="0"/>
              <w:spacing w:line="260" w:lineRule="exact"/>
              <w:ind w:left="0" w:leftChars="0" w:right="0"/>
              <w:jc w:val="both"/>
              <w:rPr>
                <w:rFonts w:hint="eastAsia" w:ascii="仿宋" w:hAnsi="仿宋" w:eastAsia="仿宋" w:cs="仿宋"/>
                <w:snapToGrid w:val="0"/>
                <w:color w:val="000000"/>
                <w:sz w:val="24"/>
                <w:szCs w:val="24"/>
              </w:rPr>
            </w:pPr>
          </w:p>
        </w:tc>
      </w:tr>
    </w:tbl>
    <w:p w14:paraId="31B44999">
      <w:pPr>
        <w:pageBreakBefore w:val="0"/>
        <w:kinsoku/>
        <w:wordWrap/>
        <w:overflowPunct/>
        <w:topLinePunct w:val="0"/>
        <w:bidi w:val="0"/>
        <w:ind w:left="0" w:leftChars="0" w:right="0"/>
        <w:jc w:val="both"/>
        <w:rPr>
          <w:rFonts w:hint="eastAsia" w:ascii="仿宋" w:hAnsi="仿宋" w:eastAsia="仿宋" w:cs="仿宋"/>
          <w:sz w:val="28"/>
          <w:szCs w:val="28"/>
        </w:rPr>
      </w:pPr>
    </w:p>
    <w:p w14:paraId="52F36695">
      <w:pPr>
        <w:pageBreakBefore w:val="0"/>
        <w:kinsoku/>
        <w:wordWrap/>
        <w:overflowPunct/>
        <w:topLinePunct w:val="0"/>
        <w:bidi w:val="0"/>
        <w:ind w:left="0" w:leftChars="0" w:right="0"/>
        <w:jc w:val="both"/>
        <w:rPr>
          <w:rFonts w:hint="eastAsia" w:ascii="仿宋" w:hAnsi="仿宋" w:eastAsia="仿宋" w:cs="仿宋"/>
          <w:sz w:val="28"/>
          <w:szCs w:val="28"/>
        </w:rPr>
        <w:sectPr>
          <w:footerReference r:id="rId13" w:type="default"/>
          <w:pgSz w:w="11900" w:h="16840"/>
          <w:pgMar w:top="1431" w:right="1026" w:bottom="1432" w:left="1083" w:header="0" w:footer="1216" w:gutter="0"/>
          <w:pgBorders>
            <w:top w:val="none" w:sz="0" w:space="0"/>
            <w:left w:val="none" w:sz="0" w:space="0"/>
            <w:bottom w:val="none" w:sz="0" w:space="0"/>
            <w:right w:val="none" w:sz="0" w:space="0"/>
          </w:pgBorders>
          <w:pgNumType w:fmt="decimal"/>
          <w:cols w:space="720" w:num="1"/>
        </w:sectPr>
      </w:pPr>
    </w:p>
    <w:p w14:paraId="6150B94E">
      <w:pPr>
        <w:pStyle w:val="4"/>
        <w:pageBreakBefore w:val="0"/>
        <w:kinsoku/>
        <w:wordWrap/>
        <w:overflowPunct/>
        <w:topLinePunct w:val="0"/>
        <w:bidi w:val="0"/>
        <w:spacing w:before="0" w:line="197" w:lineRule="auto"/>
        <w:ind w:left="0" w:leftChars="0" w:right="0"/>
        <w:jc w:val="center"/>
        <w:outlineLvl w:val="2"/>
        <w:rPr>
          <w:rFonts w:hint="eastAsia" w:ascii="仿宋" w:hAnsi="仿宋" w:eastAsia="仿宋" w:cs="仿宋"/>
          <w:sz w:val="28"/>
          <w:szCs w:val="28"/>
          <w:lang w:val="en-US" w:eastAsia="zh-CN"/>
        </w:rPr>
      </w:pPr>
      <w:r>
        <w:rPr>
          <w:rFonts w:hint="eastAsia" w:ascii="仿宋" w:hAnsi="仿宋" w:eastAsia="仿宋" w:cs="仿宋"/>
          <w:b/>
          <w:bCs/>
          <w:spacing w:val="6"/>
          <w:sz w:val="28"/>
          <w:szCs w:val="28"/>
        </w:rPr>
        <w:t>（</w:t>
      </w:r>
      <w:r>
        <w:rPr>
          <w:rFonts w:hint="eastAsia" w:ascii="仿宋" w:hAnsi="仿宋" w:eastAsia="仿宋" w:cs="仿宋"/>
          <w:b/>
          <w:bCs/>
          <w:spacing w:val="6"/>
          <w:sz w:val="28"/>
          <w:szCs w:val="28"/>
          <w:lang w:val="en-US" w:eastAsia="zh-CN"/>
        </w:rPr>
        <w:t>六</w:t>
      </w:r>
      <w:r>
        <w:rPr>
          <w:rFonts w:hint="eastAsia" w:ascii="仿宋" w:hAnsi="仿宋" w:eastAsia="仿宋" w:cs="仿宋"/>
          <w:b/>
          <w:bCs/>
          <w:spacing w:val="6"/>
          <w:sz w:val="28"/>
          <w:szCs w:val="28"/>
        </w:rPr>
        <w:t>）零星工程维修</w:t>
      </w:r>
      <w:r>
        <w:rPr>
          <w:rFonts w:hint="eastAsia" w:ascii="仿宋" w:hAnsi="仿宋" w:eastAsia="仿宋" w:cs="仿宋"/>
          <w:b/>
          <w:bCs/>
          <w:spacing w:val="6"/>
          <w:sz w:val="28"/>
          <w:szCs w:val="28"/>
          <w:lang w:val="en-US" w:eastAsia="zh-CN"/>
        </w:rPr>
        <w:t>维护</w:t>
      </w:r>
      <w:r>
        <w:rPr>
          <w:rFonts w:hint="eastAsia" w:ascii="仿宋" w:hAnsi="仿宋" w:eastAsia="仿宋" w:cs="仿宋"/>
          <w:b/>
          <w:bCs/>
          <w:spacing w:val="6"/>
          <w:sz w:val="28"/>
          <w:szCs w:val="28"/>
        </w:rPr>
        <w:t>服务</w:t>
      </w:r>
      <w:r>
        <w:rPr>
          <w:rFonts w:hint="eastAsia" w:ascii="仿宋" w:hAnsi="仿宋" w:eastAsia="仿宋" w:cs="仿宋"/>
          <w:b/>
          <w:bCs/>
          <w:spacing w:val="6"/>
          <w:sz w:val="28"/>
          <w:szCs w:val="28"/>
          <w:lang w:val="en-US" w:eastAsia="zh-CN"/>
        </w:rPr>
        <w:t>考评细则</w:t>
      </w: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750"/>
        <w:gridCol w:w="5850"/>
        <w:gridCol w:w="1850"/>
        <w:gridCol w:w="695"/>
      </w:tblGrid>
      <w:tr w14:paraId="5ED4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noWrap w:val="0"/>
            <w:vAlign w:val="center"/>
          </w:tcPr>
          <w:p w14:paraId="261B2EB3">
            <w:pPr>
              <w:pStyle w:val="269"/>
              <w:spacing w:line="177" w:lineRule="auto"/>
              <w:jc w:val="center"/>
              <w:rPr>
                <w:rFonts w:hint="eastAsia" w:ascii="仿宋" w:hAnsi="仿宋" w:eastAsia="仿宋" w:cs="仿宋"/>
                <w:snapToGrid w:val="0"/>
                <w:color w:val="000000"/>
                <w:sz w:val="24"/>
                <w:szCs w:val="24"/>
              </w:rPr>
            </w:pPr>
            <w:r>
              <w:rPr>
                <w:snapToGrid w:val="0"/>
                <w:spacing w:val="1"/>
                <w:sz w:val="24"/>
                <w:szCs w:val="24"/>
              </w:rPr>
              <w:t>项目</w:t>
            </w:r>
          </w:p>
        </w:tc>
        <w:tc>
          <w:tcPr>
            <w:tcW w:w="750" w:type="dxa"/>
            <w:noWrap w:val="0"/>
            <w:vAlign w:val="center"/>
          </w:tcPr>
          <w:p w14:paraId="64EFFB2F">
            <w:pPr>
              <w:pStyle w:val="269"/>
              <w:spacing w:line="177" w:lineRule="auto"/>
              <w:jc w:val="center"/>
              <w:rPr>
                <w:rFonts w:hint="eastAsia" w:ascii="仿宋" w:hAnsi="仿宋" w:eastAsia="仿宋" w:cs="仿宋"/>
                <w:snapToGrid w:val="0"/>
                <w:color w:val="000000"/>
                <w:sz w:val="24"/>
                <w:szCs w:val="24"/>
              </w:rPr>
            </w:pPr>
            <w:r>
              <w:rPr>
                <w:snapToGrid w:val="0"/>
                <w:spacing w:val="2"/>
                <w:sz w:val="24"/>
                <w:szCs w:val="24"/>
              </w:rPr>
              <w:t>序号</w:t>
            </w:r>
          </w:p>
        </w:tc>
        <w:tc>
          <w:tcPr>
            <w:tcW w:w="5850" w:type="dxa"/>
            <w:noWrap w:val="0"/>
            <w:vAlign w:val="center"/>
          </w:tcPr>
          <w:p w14:paraId="276A39E9">
            <w:pPr>
              <w:pStyle w:val="269"/>
              <w:spacing w:line="177" w:lineRule="auto"/>
              <w:jc w:val="center"/>
              <w:rPr>
                <w:rFonts w:hint="eastAsia" w:ascii="仿宋" w:hAnsi="仿宋" w:eastAsia="仿宋" w:cs="仿宋"/>
                <w:snapToGrid w:val="0"/>
                <w:color w:val="000000"/>
                <w:sz w:val="24"/>
                <w:szCs w:val="24"/>
              </w:rPr>
            </w:pPr>
            <w:r>
              <w:rPr>
                <w:snapToGrid w:val="0"/>
                <w:spacing w:val="5"/>
                <w:sz w:val="24"/>
                <w:szCs w:val="24"/>
              </w:rPr>
              <w:t>考核内容</w:t>
            </w:r>
          </w:p>
        </w:tc>
        <w:tc>
          <w:tcPr>
            <w:tcW w:w="1850" w:type="dxa"/>
            <w:noWrap w:val="0"/>
            <w:vAlign w:val="center"/>
          </w:tcPr>
          <w:p w14:paraId="110B1B61">
            <w:pPr>
              <w:pStyle w:val="269"/>
              <w:spacing w:line="177" w:lineRule="auto"/>
              <w:jc w:val="center"/>
              <w:rPr>
                <w:rFonts w:hint="eastAsia" w:ascii="仿宋" w:hAnsi="仿宋" w:eastAsia="仿宋" w:cs="仿宋"/>
                <w:snapToGrid w:val="0"/>
                <w:color w:val="000000"/>
                <w:sz w:val="24"/>
                <w:szCs w:val="24"/>
              </w:rPr>
            </w:pPr>
            <w:r>
              <w:rPr>
                <w:snapToGrid w:val="0"/>
                <w:spacing w:val="4"/>
                <w:sz w:val="24"/>
                <w:szCs w:val="24"/>
              </w:rPr>
              <w:t>扣除分值</w:t>
            </w:r>
          </w:p>
        </w:tc>
        <w:tc>
          <w:tcPr>
            <w:tcW w:w="695" w:type="dxa"/>
            <w:noWrap w:val="0"/>
            <w:vAlign w:val="center"/>
          </w:tcPr>
          <w:p w14:paraId="15A10255">
            <w:pPr>
              <w:pStyle w:val="269"/>
              <w:spacing w:line="177" w:lineRule="auto"/>
              <w:jc w:val="center"/>
              <w:rPr>
                <w:rFonts w:hint="eastAsia" w:ascii="仿宋" w:hAnsi="仿宋" w:eastAsia="仿宋" w:cs="仿宋"/>
                <w:snapToGrid w:val="0"/>
                <w:color w:val="000000"/>
                <w:sz w:val="24"/>
                <w:szCs w:val="24"/>
              </w:rPr>
            </w:pPr>
            <w:r>
              <w:rPr>
                <w:snapToGrid w:val="0"/>
                <w:spacing w:val="-1"/>
                <w:sz w:val="24"/>
                <w:szCs w:val="24"/>
              </w:rPr>
              <w:t>扣分</w:t>
            </w:r>
          </w:p>
        </w:tc>
      </w:tr>
      <w:tr w14:paraId="168E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restart"/>
            <w:tcBorders>
              <w:bottom w:val="nil"/>
            </w:tcBorders>
            <w:noWrap w:val="0"/>
            <w:vAlign w:val="center"/>
          </w:tcPr>
          <w:p w14:paraId="4BD62CFA">
            <w:pPr>
              <w:pStyle w:val="269"/>
              <w:spacing w:line="326" w:lineRule="auto"/>
              <w:ind w:firstLine="2" w:firstLineChars="0"/>
              <w:rPr>
                <w:rFonts w:hint="eastAsia" w:ascii="仿宋" w:hAnsi="仿宋" w:eastAsia="仿宋" w:cs="仿宋"/>
                <w:b w:val="0"/>
                <w:bCs w:val="0"/>
                <w:snapToGrid w:val="0"/>
                <w:color w:val="000000"/>
                <w:sz w:val="24"/>
                <w:szCs w:val="24"/>
              </w:rPr>
            </w:pPr>
            <w:r>
              <w:rPr>
                <w:snapToGrid w:val="0"/>
                <w:sz w:val="24"/>
                <w:szCs w:val="24"/>
              </w:rPr>
              <w:t>行为</w:t>
            </w:r>
            <w:r>
              <w:rPr>
                <w:snapToGrid w:val="0"/>
                <w:spacing w:val="1"/>
                <w:sz w:val="24"/>
                <w:szCs w:val="24"/>
              </w:rPr>
              <w:t>规范</w:t>
            </w:r>
          </w:p>
        </w:tc>
        <w:tc>
          <w:tcPr>
            <w:tcW w:w="750" w:type="dxa"/>
            <w:noWrap w:val="0"/>
            <w:vAlign w:val="center"/>
          </w:tcPr>
          <w:p w14:paraId="76239C64">
            <w:pPr>
              <w:pStyle w:val="269"/>
              <w:spacing w:line="177" w:lineRule="auto"/>
              <w:jc w:val="center"/>
              <w:rPr>
                <w:rFonts w:hint="eastAsia" w:ascii="仿宋" w:hAnsi="仿宋" w:eastAsia="仿宋" w:cs="仿宋"/>
                <w:b w:val="0"/>
                <w:bCs w:val="0"/>
                <w:snapToGrid w:val="0"/>
                <w:color w:val="000000"/>
                <w:sz w:val="24"/>
                <w:szCs w:val="24"/>
              </w:rPr>
            </w:pPr>
            <w:r>
              <w:rPr>
                <w:snapToGrid w:val="0"/>
                <w:spacing w:val="1"/>
                <w:sz w:val="24"/>
                <w:szCs w:val="24"/>
              </w:rPr>
              <w:t>1</w:t>
            </w:r>
          </w:p>
        </w:tc>
        <w:tc>
          <w:tcPr>
            <w:tcW w:w="5850" w:type="dxa"/>
            <w:noWrap w:val="0"/>
            <w:vAlign w:val="center"/>
          </w:tcPr>
          <w:p w14:paraId="4CAF5C91">
            <w:pPr>
              <w:pStyle w:val="269"/>
              <w:spacing w:line="177" w:lineRule="auto"/>
              <w:jc w:val="left"/>
              <w:rPr>
                <w:rFonts w:hint="eastAsia" w:ascii="仿宋" w:hAnsi="仿宋" w:eastAsia="仿宋" w:cs="仿宋"/>
                <w:b w:val="0"/>
                <w:bCs w:val="0"/>
                <w:snapToGrid w:val="0"/>
                <w:color w:val="000000"/>
                <w:sz w:val="24"/>
                <w:szCs w:val="24"/>
              </w:rPr>
            </w:pPr>
            <w:r>
              <w:rPr>
                <w:snapToGrid w:val="0"/>
                <w:spacing w:val="4"/>
                <w:sz w:val="24"/>
                <w:szCs w:val="24"/>
                <w:lang w:eastAsia="zh-CN"/>
              </w:rPr>
              <w:t>工作时间不按规定统一着装</w:t>
            </w:r>
          </w:p>
        </w:tc>
        <w:tc>
          <w:tcPr>
            <w:tcW w:w="1850" w:type="dxa"/>
            <w:noWrap w:val="0"/>
            <w:vAlign w:val="center"/>
          </w:tcPr>
          <w:p w14:paraId="5EE5399E">
            <w:pPr>
              <w:pStyle w:val="269"/>
              <w:spacing w:line="177" w:lineRule="auto"/>
              <w:rPr>
                <w:rFonts w:hint="eastAsia" w:ascii="仿宋" w:hAnsi="仿宋" w:eastAsia="仿宋" w:cs="仿宋"/>
                <w:b w:val="0"/>
                <w:bCs w:val="0"/>
                <w:snapToGrid w:val="0"/>
                <w:color w:val="000000"/>
                <w:sz w:val="24"/>
                <w:szCs w:val="24"/>
              </w:rPr>
            </w:pPr>
            <w:r>
              <w:rPr>
                <w:snapToGrid w:val="0"/>
                <w:spacing w:val="4"/>
                <w:sz w:val="24"/>
                <w:szCs w:val="24"/>
                <w:lang w:eastAsia="zh-CN"/>
              </w:rPr>
              <w:t>每人每次扣1分</w:t>
            </w:r>
          </w:p>
        </w:tc>
        <w:tc>
          <w:tcPr>
            <w:tcW w:w="695" w:type="dxa"/>
            <w:noWrap w:val="0"/>
            <w:vAlign w:val="center"/>
          </w:tcPr>
          <w:p w14:paraId="16CD27B0">
            <w:pPr>
              <w:rPr>
                <w:rFonts w:hint="eastAsia" w:ascii="仿宋" w:hAnsi="仿宋" w:eastAsia="仿宋" w:cs="仿宋"/>
                <w:b w:val="0"/>
                <w:bCs w:val="0"/>
                <w:snapToGrid w:val="0"/>
                <w:color w:val="000000"/>
                <w:sz w:val="24"/>
                <w:szCs w:val="24"/>
              </w:rPr>
            </w:pPr>
          </w:p>
        </w:tc>
      </w:tr>
      <w:tr w14:paraId="557C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49AD477A">
            <w:pPr>
              <w:rPr>
                <w:rFonts w:hint="eastAsia" w:ascii="仿宋" w:hAnsi="仿宋" w:eastAsia="仿宋" w:cs="仿宋"/>
                <w:b w:val="0"/>
                <w:bCs w:val="0"/>
                <w:snapToGrid w:val="0"/>
                <w:color w:val="000000"/>
                <w:sz w:val="24"/>
                <w:szCs w:val="24"/>
              </w:rPr>
            </w:pPr>
          </w:p>
        </w:tc>
        <w:tc>
          <w:tcPr>
            <w:tcW w:w="750" w:type="dxa"/>
            <w:noWrap w:val="0"/>
            <w:vAlign w:val="center"/>
          </w:tcPr>
          <w:p w14:paraId="21F7E8AA">
            <w:pPr>
              <w:pStyle w:val="269"/>
              <w:spacing w:line="177" w:lineRule="auto"/>
              <w:jc w:val="center"/>
              <w:rPr>
                <w:rFonts w:hint="eastAsia" w:ascii="仿宋" w:hAnsi="仿宋" w:eastAsia="仿宋" w:cs="仿宋"/>
                <w:b w:val="0"/>
                <w:bCs w:val="0"/>
                <w:snapToGrid w:val="0"/>
                <w:color w:val="000000"/>
                <w:sz w:val="24"/>
                <w:szCs w:val="24"/>
              </w:rPr>
            </w:pPr>
            <w:r>
              <w:rPr>
                <w:snapToGrid w:val="0"/>
                <w:sz w:val="24"/>
                <w:szCs w:val="24"/>
              </w:rPr>
              <w:t>2</w:t>
            </w:r>
          </w:p>
        </w:tc>
        <w:tc>
          <w:tcPr>
            <w:tcW w:w="5850" w:type="dxa"/>
            <w:noWrap w:val="0"/>
            <w:vAlign w:val="center"/>
          </w:tcPr>
          <w:p w14:paraId="43739646">
            <w:pPr>
              <w:pStyle w:val="269"/>
              <w:spacing w:line="177" w:lineRule="auto"/>
              <w:jc w:val="left"/>
              <w:rPr>
                <w:rFonts w:hint="eastAsia" w:ascii="仿宋" w:hAnsi="仿宋" w:eastAsia="仿宋" w:cs="仿宋"/>
                <w:b w:val="0"/>
                <w:bCs w:val="0"/>
                <w:snapToGrid w:val="0"/>
                <w:color w:val="000000"/>
                <w:sz w:val="24"/>
                <w:szCs w:val="24"/>
              </w:rPr>
            </w:pPr>
            <w:r>
              <w:rPr>
                <w:snapToGrid w:val="0"/>
                <w:spacing w:val="7"/>
                <w:sz w:val="24"/>
                <w:szCs w:val="24"/>
              </w:rPr>
              <w:t>不使用文明用语</w:t>
            </w:r>
          </w:p>
        </w:tc>
        <w:tc>
          <w:tcPr>
            <w:tcW w:w="1850" w:type="dxa"/>
            <w:noWrap w:val="0"/>
            <w:vAlign w:val="center"/>
          </w:tcPr>
          <w:p w14:paraId="75568B25">
            <w:pPr>
              <w:pStyle w:val="269"/>
              <w:spacing w:line="177" w:lineRule="auto"/>
              <w:rPr>
                <w:rFonts w:hint="eastAsia" w:ascii="仿宋" w:hAnsi="仿宋" w:eastAsia="仿宋" w:cs="仿宋"/>
                <w:b w:val="0"/>
                <w:bCs w:val="0"/>
                <w:snapToGrid w:val="0"/>
                <w:color w:val="000000"/>
                <w:sz w:val="24"/>
                <w:szCs w:val="24"/>
              </w:rPr>
            </w:pPr>
            <w:r>
              <w:rPr>
                <w:snapToGrid w:val="0"/>
                <w:spacing w:val="4"/>
                <w:sz w:val="24"/>
                <w:szCs w:val="24"/>
              </w:rPr>
              <w:t>每人每次扣1分</w:t>
            </w:r>
          </w:p>
        </w:tc>
        <w:tc>
          <w:tcPr>
            <w:tcW w:w="695" w:type="dxa"/>
            <w:noWrap w:val="0"/>
            <w:vAlign w:val="center"/>
          </w:tcPr>
          <w:p w14:paraId="0D6BAC14">
            <w:pPr>
              <w:rPr>
                <w:rFonts w:hint="eastAsia" w:ascii="仿宋" w:hAnsi="仿宋" w:eastAsia="仿宋" w:cs="仿宋"/>
                <w:b w:val="0"/>
                <w:bCs w:val="0"/>
                <w:snapToGrid w:val="0"/>
                <w:color w:val="000000"/>
                <w:sz w:val="24"/>
                <w:szCs w:val="24"/>
              </w:rPr>
            </w:pPr>
          </w:p>
        </w:tc>
      </w:tr>
      <w:tr w14:paraId="0F16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1B011CF9">
            <w:pPr>
              <w:rPr>
                <w:rFonts w:hint="eastAsia" w:ascii="仿宋" w:hAnsi="仿宋" w:eastAsia="仿宋" w:cs="仿宋"/>
                <w:b w:val="0"/>
                <w:bCs w:val="0"/>
                <w:snapToGrid w:val="0"/>
                <w:color w:val="000000"/>
                <w:sz w:val="24"/>
                <w:szCs w:val="24"/>
              </w:rPr>
            </w:pPr>
          </w:p>
        </w:tc>
        <w:tc>
          <w:tcPr>
            <w:tcW w:w="750" w:type="dxa"/>
            <w:noWrap w:val="0"/>
            <w:vAlign w:val="center"/>
          </w:tcPr>
          <w:p w14:paraId="27FE14C4">
            <w:pPr>
              <w:pStyle w:val="269"/>
              <w:spacing w:line="176" w:lineRule="auto"/>
              <w:jc w:val="center"/>
              <w:rPr>
                <w:rFonts w:hint="eastAsia" w:ascii="仿宋" w:hAnsi="仿宋" w:eastAsia="仿宋" w:cs="仿宋"/>
                <w:b w:val="0"/>
                <w:bCs w:val="0"/>
                <w:snapToGrid w:val="0"/>
                <w:color w:val="000000"/>
                <w:sz w:val="24"/>
                <w:szCs w:val="24"/>
              </w:rPr>
            </w:pPr>
            <w:r>
              <w:rPr>
                <w:snapToGrid w:val="0"/>
                <w:sz w:val="24"/>
                <w:szCs w:val="24"/>
              </w:rPr>
              <w:t>3</w:t>
            </w:r>
          </w:p>
        </w:tc>
        <w:tc>
          <w:tcPr>
            <w:tcW w:w="5850" w:type="dxa"/>
            <w:noWrap w:val="0"/>
            <w:vAlign w:val="center"/>
          </w:tcPr>
          <w:p w14:paraId="03222EC7">
            <w:pPr>
              <w:pStyle w:val="269"/>
              <w:spacing w:line="176" w:lineRule="auto"/>
              <w:jc w:val="left"/>
              <w:rPr>
                <w:rFonts w:hint="eastAsia" w:ascii="仿宋" w:hAnsi="仿宋" w:eastAsia="仿宋" w:cs="仿宋"/>
                <w:b w:val="0"/>
                <w:bCs w:val="0"/>
                <w:snapToGrid w:val="0"/>
                <w:color w:val="000000"/>
                <w:sz w:val="24"/>
                <w:szCs w:val="24"/>
              </w:rPr>
            </w:pPr>
            <w:r>
              <w:rPr>
                <w:snapToGrid w:val="0"/>
                <w:spacing w:val="4"/>
                <w:sz w:val="24"/>
                <w:szCs w:val="24"/>
                <w:lang w:eastAsia="zh-CN"/>
              </w:rPr>
              <w:t>工作时间不干私事、不脱岗、不串岗、不睡岗；</w:t>
            </w:r>
          </w:p>
        </w:tc>
        <w:tc>
          <w:tcPr>
            <w:tcW w:w="1850" w:type="dxa"/>
            <w:noWrap w:val="0"/>
            <w:vAlign w:val="center"/>
          </w:tcPr>
          <w:p w14:paraId="0B5319B3">
            <w:pPr>
              <w:pStyle w:val="269"/>
              <w:spacing w:line="176" w:lineRule="auto"/>
              <w:rPr>
                <w:rFonts w:hint="eastAsia" w:ascii="仿宋" w:hAnsi="仿宋" w:eastAsia="仿宋" w:cs="仿宋"/>
                <w:b w:val="0"/>
                <w:bCs w:val="0"/>
                <w:snapToGrid w:val="0"/>
                <w:color w:val="000000"/>
                <w:sz w:val="24"/>
                <w:szCs w:val="24"/>
              </w:rPr>
            </w:pPr>
            <w:r>
              <w:rPr>
                <w:snapToGrid w:val="0"/>
                <w:spacing w:val="4"/>
                <w:sz w:val="24"/>
                <w:szCs w:val="24"/>
              </w:rPr>
              <w:t>每人每次扣1分</w:t>
            </w:r>
          </w:p>
        </w:tc>
        <w:tc>
          <w:tcPr>
            <w:tcW w:w="695" w:type="dxa"/>
            <w:noWrap w:val="0"/>
            <w:vAlign w:val="center"/>
          </w:tcPr>
          <w:p w14:paraId="2FA2FC57">
            <w:pPr>
              <w:rPr>
                <w:rFonts w:hint="eastAsia" w:ascii="仿宋" w:hAnsi="仿宋" w:eastAsia="仿宋" w:cs="仿宋"/>
                <w:b w:val="0"/>
                <w:bCs w:val="0"/>
                <w:snapToGrid w:val="0"/>
                <w:color w:val="000000"/>
                <w:sz w:val="24"/>
                <w:szCs w:val="24"/>
              </w:rPr>
            </w:pPr>
          </w:p>
        </w:tc>
      </w:tr>
      <w:tr w14:paraId="1AFF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04B14F79">
            <w:pPr>
              <w:rPr>
                <w:rFonts w:hint="eastAsia" w:ascii="仿宋" w:hAnsi="仿宋" w:eastAsia="仿宋" w:cs="仿宋"/>
                <w:b w:val="0"/>
                <w:bCs w:val="0"/>
                <w:snapToGrid w:val="0"/>
                <w:color w:val="000000"/>
                <w:sz w:val="24"/>
                <w:szCs w:val="24"/>
              </w:rPr>
            </w:pPr>
          </w:p>
        </w:tc>
        <w:tc>
          <w:tcPr>
            <w:tcW w:w="750" w:type="dxa"/>
            <w:noWrap w:val="0"/>
            <w:vAlign w:val="center"/>
          </w:tcPr>
          <w:p w14:paraId="42AEB77B">
            <w:pPr>
              <w:spacing w:line="336" w:lineRule="auto"/>
              <w:jc w:val="center"/>
              <w:rPr>
                <w:rFonts w:hint="default" w:ascii="仿宋" w:hAnsi="仿宋" w:eastAsia="仿宋" w:cs="仿宋"/>
                <w:snapToGrid w:val="0"/>
                <w:sz w:val="24"/>
                <w:szCs w:val="24"/>
              </w:rPr>
            </w:pPr>
          </w:p>
          <w:p w14:paraId="7D671066">
            <w:pPr>
              <w:pStyle w:val="269"/>
              <w:spacing w:line="213" w:lineRule="auto"/>
              <w:jc w:val="center"/>
              <w:rPr>
                <w:rFonts w:hint="eastAsia" w:ascii="仿宋" w:hAnsi="仿宋" w:eastAsia="仿宋" w:cs="仿宋"/>
                <w:b w:val="0"/>
                <w:bCs w:val="0"/>
                <w:snapToGrid w:val="0"/>
                <w:color w:val="000000"/>
                <w:sz w:val="24"/>
                <w:szCs w:val="24"/>
              </w:rPr>
            </w:pPr>
            <w:r>
              <w:rPr>
                <w:snapToGrid w:val="0"/>
                <w:sz w:val="24"/>
                <w:szCs w:val="24"/>
              </w:rPr>
              <w:t>4</w:t>
            </w:r>
          </w:p>
        </w:tc>
        <w:tc>
          <w:tcPr>
            <w:tcW w:w="5850" w:type="dxa"/>
            <w:noWrap w:val="0"/>
            <w:vAlign w:val="center"/>
          </w:tcPr>
          <w:p w14:paraId="04A6913F">
            <w:pPr>
              <w:pStyle w:val="269"/>
              <w:spacing w:line="242" w:lineRule="auto"/>
              <w:ind w:firstLine="19" w:firstLineChars="0"/>
              <w:jc w:val="left"/>
              <w:rPr>
                <w:rFonts w:hint="eastAsia" w:ascii="仿宋" w:hAnsi="仿宋" w:eastAsia="仿宋" w:cs="仿宋"/>
                <w:b w:val="0"/>
                <w:bCs w:val="0"/>
                <w:snapToGrid w:val="0"/>
                <w:color w:val="000000"/>
                <w:sz w:val="24"/>
                <w:szCs w:val="24"/>
              </w:rPr>
            </w:pPr>
            <w:r>
              <w:rPr>
                <w:snapToGrid w:val="0"/>
                <w:spacing w:val="-1"/>
                <w:sz w:val="24"/>
                <w:szCs w:val="24"/>
                <w:lang w:eastAsia="zh-CN"/>
              </w:rPr>
              <w:t>岗位上存在吸烟、玩手机、嬉戏、打闹等影</w:t>
            </w:r>
            <w:r>
              <w:rPr>
                <w:snapToGrid w:val="0"/>
                <w:spacing w:val="6"/>
                <w:sz w:val="24"/>
                <w:szCs w:val="24"/>
                <w:lang w:eastAsia="zh-CN"/>
              </w:rPr>
              <w:t>响工作的现象</w:t>
            </w:r>
          </w:p>
        </w:tc>
        <w:tc>
          <w:tcPr>
            <w:tcW w:w="1850" w:type="dxa"/>
            <w:noWrap w:val="0"/>
            <w:vAlign w:val="center"/>
          </w:tcPr>
          <w:p w14:paraId="2BEDD426">
            <w:pPr>
              <w:spacing w:line="271" w:lineRule="auto"/>
              <w:rPr>
                <w:rFonts w:hint="default" w:ascii="仿宋" w:hAnsi="仿宋" w:eastAsia="仿宋" w:cs="仿宋"/>
                <w:snapToGrid w:val="0"/>
                <w:sz w:val="24"/>
                <w:szCs w:val="24"/>
              </w:rPr>
            </w:pPr>
          </w:p>
          <w:p w14:paraId="57D45629">
            <w:pPr>
              <w:pStyle w:val="269"/>
              <w:spacing w:line="200" w:lineRule="auto"/>
              <w:rPr>
                <w:rFonts w:hint="eastAsia" w:ascii="仿宋" w:hAnsi="仿宋" w:eastAsia="仿宋" w:cs="仿宋"/>
                <w:b w:val="0"/>
                <w:bCs w:val="0"/>
                <w:snapToGrid w:val="0"/>
                <w:color w:val="000000"/>
                <w:sz w:val="24"/>
                <w:szCs w:val="24"/>
              </w:rPr>
            </w:pPr>
            <w:r>
              <w:rPr>
                <w:snapToGrid w:val="0"/>
                <w:spacing w:val="4"/>
                <w:sz w:val="24"/>
                <w:szCs w:val="24"/>
              </w:rPr>
              <w:t>每人每次扣1分</w:t>
            </w:r>
          </w:p>
        </w:tc>
        <w:tc>
          <w:tcPr>
            <w:tcW w:w="695" w:type="dxa"/>
            <w:noWrap w:val="0"/>
            <w:vAlign w:val="center"/>
          </w:tcPr>
          <w:p w14:paraId="01AD6073">
            <w:pPr>
              <w:rPr>
                <w:rFonts w:hint="eastAsia" w:ascii="仿宋" w:hAnsi="仿宋" w:eastAsia="仿宋" w:cs="仿宋"/>
                <w:b w:val="0"/>
                <w:bCs w:val="0"/>
                <w:snapToGrid w:val="0"/>
                <w:color w:val="000000"/>
                <w:sz w:val="24"/>
                <w:szCs w:val="24"/>
              </w:rPr>
            </w:pPr>
          </w:p>
        </w:tc>
      </w:tr>
      <w:tr w14:paraId="415F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493" w:type="dxa"/>
            <w:vMerge w:val="continue"/>
            <w:tcBorders>
              <w:top w:val="nil"/>
              <w:bottom w:val="nil"/>
            </w:tcBorders>
            <w:noWrap w:val="0"/>
            <w:vAlign w:val="center"/>
          </w:tcPr>
          <w:p w14:paraId="7B68ECB7">
            <w:pPr>
              <w:rPr>
                <w:rFonts w:hint="eastAsia" w:ascii="仿宋" w:hAnsi="仿宋" w:eastAsia="仿宋" w:cs="仿宋"/>
                <w:b w:val="0"/>
                <w:bCs w:val="0"/>
                <w:snapToGrid w:val="0"/>
                <w:color w:val="000000"/>
                <w:sz w:val="24"/>
                <w:szCs w:val="24"/>
              </w:rPr>
            </w:pPr>
          </w:p>
        </w:tc>
        <w:tc>
          <w:tcPr>
            <w:tcW w:w="750" w:type="dxa"/>
            <w:noWrap w:val="0"/>
            <w:vAlign w:val="center"/>
          </w:tcPr>
          <w:p w14:paraId="13D44E40">
            <w:pPr>
              <w:pStyle w:val="269"/>
              <w:spacing w:line="176" w:lineRule="auto"/>
              <w:jc w:val="center"/>
              <w:rPr>
                <w:rFonts w:hint="eastAsia" w:ascii="仿宋" w:hAnsi="仿宋" w:eastAsia="仿宋" w:cs="仿宋"/>
                <w:b w:val="0"/>
                <w:bCs w:val="0"/>
                <w:snapToGrid w:val="0"/>
                <w:color w:val="000000"/>
                <w:sz w:val="24"/>
                <w:szCs w:val="24"/>
              </w:rPr>
            </w:pPr>
            <w:r>
              <w:rPr>
                <w:snapToGrid w:val="0"/>
                <w:sz w:val="24"/>
                <w:szCs w:val="24"/>
              </w:rPr>
              <w:t>5</w:t>
            </w:r>
          </w:p>
        </w:tc>
        <w:tc>
          <w:tcPr>
            <w:tcW w:w="5850" w:type="dxa"/>
            <w:noWrap w:val="0"/>
            <w:vAlign w:val="center"/>
          </w:tcPr>
          <w:p w14:paraId="15E08839">
            <w:pPr>
              <w:pStyle w:val="269"/>
              <w:spacing w:line="192" w:lineRule="auto"/>
              <w:jc w:val="left"/>
              <w:rPr>
                <w:rFonts w:hint="eastAsia" w:ascii="仿宋" w:hAnsi="仿宋" w:eastAsia="仿宋" w:cs="仿宋"/>
                <w:b w:val="0"/>
                <w:bCs w:val="0"/>
                <w:snapToGrid w:val="0"/>
                <w:color w:val="000000"/>
                <w:sz w:val="24"/>
                <w:szCs w:val="24"/>
              </w:rPr>
            </w:pPr>
            <w:r>
              <w:rPr>
                <w:snapToGrid w:val="0"/>
                <w:spacing w:val="4"/>
                <w:sz w:val="24"/>
                <w:szCs w:val="24"/>
                <w:lang w:eastAsia="zh-CN"/>
              </w:rPr>
              <w:t>态度不端正，不服从工作安排，抵制工作</w:t>
            </w:r>
          </w:p>
        </w:tc>
        <w:tc>
          <w:tcPr>
            <w:tcW w:w="1850" w:type="dxa"/>
            <w:noWrap w:val="0"/>
            <w:vAlign w:val="center"/>
          </w:tcPr>
          <w:p w14:paraId="0C76D484">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每人每次扣3分</w:t>
            </w:r>
          </w:p>
        </w:tc>
        <w:tc>
          <w:tcPr>
            <w:tcW w:w="695" w:type="dxa"/>
            <w:noWrap w:val="0"/>
            <w:vAlign w:val="center"/>
          </w:tcPr>
          <w:p w14:paraId="4528157B">
            <w:pPr>
              <w:rPr>
                <w:rFonts w:hint="eastAsia" w:ascii="仿宋" w:hAnsi="仿宋" w:eastAsia="仿宋" w:cs="仿宋"/>
                <w:b w:val="0"/>
                <w:bCs w:val="0"/>
                <w:snapToGrid w:val="0"/>
                <w:color w:val="000000"/>
                <w:sz w:val="24"/>
                <w:szCs w:val="24"/>
              </w:rPr>
            </w:pPr>
          </w:p>
        </w:tc>
      </w:tr>
      <w:tr w14:paraId="750F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1F465DB9">
            <w:pPr>
              <w:rPr>
                <w:rFonts w:hint="eastAsia" w:ascii="仿宋" w:hAnsi="仿宋" w:eastAsia="仿宋" w:cs="仿宋"/>
                <w:b w:val="0"/>
                <w:bCs w:val="0"/>
                <w:snapToGrid w:val="0"/>
                <w:color w:val="000000"/>
                <w:sz w:val="24"/>
                <w:szCs w:val="24"/>
              </w:rPr>
            </w:pPr>
          </w:p>
        </w:tc>
        <w:tc>
          <w:tcPr>
            <w:tcW w:w="750" w:type="dxa"/>
            <w:noWrap w:val="0"/>
            <w:vAlign w:val="center"/>
          </w:tcPr>
          <w:p w14:paraId="5D110F72">
            <w:pPr>
              <w:pStyle w:val="269"/>
              <w:spacing w:line="176" w:lineRule="auto"/>
              <w:jc w:val="center"/>
              <w:rPr>
                <w:rFonts w:hint="eastAsia" w:ascii="仿宋" w:hAnsi="仿宋" w:eastAsia="仿宋" w:cs="仿宋"/>
                <w:b w:val="0"/>
                <w:bCs w:val="0"/>
                <w:snapToGrid w:val="0"/>
                <w:color w:val="000000"/>
                <w:sz w:val="24"/>
                <w:szCs w:val="24"/>
              </w:rPr>
            </w:pPr>
            <w:r>
              <w:rPr>
                <w:snapToGrid w:val="0"/>
                <w:sz w:val="24"/>
                <w:szCs w:val="24"/>
              </w:rPr>
              <w:t>6</w:t>
            </w:r>
          </w:p>
        </w:tc>
        <w:tc>
          <w:tcPr>
            <w:tcW w:w="5850" w:type="dxa"/>
            <w:noWrap w:val="0"/>
            <w:vAlign w:val="center"/>
          </w:tcPr>
          <w:p w14:paraId="2220BB28">
            <w:pPr>
              <w:pStyle w:val="269"/>
              <w:spacing w:line="200" w:lineRule="auto"/>
              <w:jc w:val="left"/>
              <w:rPr>
                <w:rFonts w:hint="eastAsia" w:ascii="仿宋" w:hAnsi="仿宋" w:eastAsia="仿宋" w:cs="仿宋"/>
                <w:b w:val="0"/>
                <w:bCs w:val="0"/>
                <w:snapToGrid w:val="0"/>
                <w:color w:val="000000"/>
                <w:sz w:val="24"/>
                <w:szCs w:val="24"/>
              </w:rPr>
            </w:pPr>
            <w:r>
              <w:rPr>
                <w:snapToGrid w:val="0"/>
                <w:spacing w:val="7"/>
                <w:sz w:val="24"/>
                <w:szCs w:val="24"/>
                <w:lang w:eastAsia="zh-CN"/>
              </w:rPr>
              <w:t>与同事或师生发生言语冲突、肢体冲突</w:t>
            </w:r>
          </w:p>
        </w:tc>
        <w:tc>
          <w:tcPr>
            <w:tcW w:w="1850" w:type="dxa"/>
            <w:noWrap w:val="0"/>
            <w:vAlign w:val="center"/>
          </w:tcPr>
          <w:p w14:paraId="06240337">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每人每次扣2分</w:t>
            </w:r>
          </w:p>
        </w:tc>
        <w:tc>
          <w:tcPr>
            <w:tcW w:w="695" w:type="dxa"/>
            <w:noWrap w:val="0"/>
            <w:vAlign w:val="center"/>
          </w:tcPr>
          <w:p w14:paraId="0DD4C362">
            <w:pPr>
              <w:rPr>
                <w:rFonts w:hint="eastAsia" w:ascii="仿宋" w:hAnsi="仿宋" w:eastAsia="仿宋" w:cs="仿宋"/>
                <w:b w:val="0"/>
                <w:bCs w:val="0"/>
                <w:snapToGrid w:val="0"/>
                <w:color w:val="000000"/>
                <w:sz w:val="24"/>
                <w:szCs w:val="24"/>
              </w:rPr>
            </w:pPr>
          </w:p>
        </w:tc>
      </w:tr>
      <w:tr w14:paraId="596B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14288109">
            <w:pPr>
              <w:rPr>
                <w:rFonts w:hint="eastAsia" w:ascii="仿宋" w:hAnsi="仿宋" w:eastAsia="仿宋" w:cs="仿宋"/>
                <w:b w:val="0"/>
                <w:bCs w:val="0"/>
                <w:snapToGrid w:val="0"/>
                <w:color w:val="000000"/>
                <w:sz w:val="24"/>
                <w:szCs w:val="24"/>
              </w:rPr>
            </w:pPr>
          </w:p>
        </w:tc>
        <w:tc>
          <w:tcPr>
            <w:tcW w:w="750" w:type="dxa"/>
            <w:noWrap w:val="0"/>
            <w:vAlign w:val="center"/>
          </w:tcPr>
          <w:p w14:paraId="5D7EC99C">
            <w:pPr>
              <w:pStyle w:val="269"/>
              <w:spacing w:line="176" w:lineRule="auto"/>
              <w:jc w:val="center"/>
              <w:rPr>
                <w:rFonts w:hint="eastAsia" w:ascii="仿宋" w:hAnsi="仿宋" w:eastAsia="仿宋" w:cs="仿宋"/>
                <w:b w:val="0"/>
                <w:bCs w:val="0"/>
                <w:snapToGrid w:val="0"/>
                <w:color w:val="000000"/>
                <w:sz w:val="24"/>
                <w:szCs w:val="24"/>
              </w:rPr>
            </w:pPr>
            <w:r>
              <w:rPr>
                <w:snapToGrid w:val="0"/>
                <w:sz w:val="24"/>
                <w:szCs w:val="24"/>
              </w:rPr>
              <w:t>7</w:t>
            </w:r>
          </w:p>
        </w:tc>
        <w:tc>
          <w:tcPr>
            <w:tcW w:w="5850" w:type="dxa"/>
            <w:noWrap w:val="0"/>
            <w:vAlign w:val="center"/>
          </w:tcPr>
          <w:p w14:paraId="04DDC6D9">
            <w:pPr>
              <w:pStyle w:val="269"/>
              <w:spacing w:line="192" w:lineRule="auto"/>
              <w:jc w:val="left"/>
              <w:rPr>
                <w:rFonts w:hint="eastAsia" w:ascii="仿宋" w:hAnsi="仿宋" w:eastAsia="仿宋" w:cs="仿宋"/>
                <w:b w:val="0"/>
                <w:bCs w:val="0"/>
                <w:snapToGrid w:val="0"/>
                <w:color w:val="000000"/>
                <w:sz w:val="24"/>
                <w:szCs w:val="24"/>
              </w:rPr>
            </w:pPr>
            <w:r>
              <w:rPr>
                <w:snapToGrid w:val="0"/>
                <w:spacing w:val="3"/>
                <w:sz w:val="24"/>
                <w:szCs w:val="24"/>
                <w:lang w:eastAsia="zh-CN"/>
              </w:rPr>
              <w:t>迟到、早退，交接工作不交接清楚</w:t>
            </w:r>
          </w:p>
        </w:tc>
        <w:tc>
          <w:tcPr>
            <w:tcW w:w="1850" w:type="dxa"/>
            <w:noWrap w:val="0"/>
            <w:vAlign w:val="center"/>
          </w:tcPr>
          <w:p w14:paraId="1B8B2F1B">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每人每次扣2分</w:t>
            </w:r>
          </w:p>
        </w:tc>
        <w:tc>
          <w:tcPr>
            <w:tcW w:w="695" w:type="dxa"/>
            <w:noWrap w:val="0"/>
            <w:vAlign w:val="center"/>
          </w:tcPr>
          <w:p w14:paraId="031BFAA6">
            <w:pPr>
              <w:rPr>
                <w:rFonts w:hint="eastAsia" w:ascii="仿宋" w:hAnsi="仿宋" w:eastAsia="仿宋" w:cs="仿宋"/>
                <w:b w:val="0"/>
                <w:bCs w:val="0"/>
                <w:snapToGrid w:val="0"/>
                <w:color w:val="000000"/>
                <w:sz w:val="24"/>
                <w:szCs w:val="24"/>
              </w:rPr>
            </w:pPr>
          </w:p>
        </w:tc>
      </w:tr>
      <w:tr w14:paraId="1FF5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020279E7">
            <w:pPr>
              <w:rPr>
                <w:rFonts w:hint="eastAsia" w:ascii="仿宋" w:hAnsi="仿宋" w:eastAsia="仿宋" w:cs="仿宋"/>
                <w:b w:val="0"/>
                <w:bCs w:val="0"/>
                <w:snapToGrid w:val="0"/>
                <w:color w:val="000000"/>
                <w:sz w:val="24"/>
                <w:szCs w:val="24"/>
              </w:rPr>
            </w:pPr>
          </w:p>
        </w:tc>
        <w:tc>
          <w:tcPr>
            <w:tcW w:w="750" w:type="dxa"/>
            <w:noWrap w:val="0"/>
            <w:vAlign w:val="center"/>
          </w:tcPr>
          <w:p w14:paraId="59AD7540">
            <w:pPr>
              <w:pStyle w:val="269"/>
              <w:spacing w:line="177" w:lineRule="auto"/>
              <w:jc w:val="center"/>
              <w:rPr>
                <w:rFonts w:hint="eastAsia" w:ascii="仿宋" w:hAnsi="仿宋" w:eastAsia="仿宋" w:cs="仿宋"/>
                <w:b w:val="0"/>
                <w:bCs w:val="0"/>
                <w:snapToGrid w:val="0"/>
                <w:color w:val="000000"/>
                <w:sz w:val="24"/>
                <w:szCs w:val="24"/>
              </w:rPr>
            </w:pPr>
            <w:r>
              <w:rPr>
                <w:snapToGrid w:val="0"/>
                <w:sz w:val="24"/>
                <w:szCs w:val="24"/>
              </w:rPr>
              <w:t>8</w:t>
            </w:r>
          </w:p>
        </w:tc>
        <w:tc>
          <w:tcPr>
            <w:tcW w:w="5850" w:type="dxa"/>
            <w:noWrap w:val="0"/>
            <w:vAlign w:val="center"/>
          </w:tcPr>
          <w:p w14:paraId="6AB07863">
            <w:pPr>
              <w:pStyle w:val="269"/>
              <w:spacing w:line="199" w:lineRule="auto"/>
              <w:jc w:val="left"/>
              <w:rPr>
                <w:rFonts w:hint="eastAsia" w:ascii="仿宋" w:hAnsi="仿宋" w:eastAsia="仿宋" w:cs="仿宋"/>
                <w:b w:val="0"/>
                <w:bCs w:val="0"/>
                <w:snapToGrid w:val="0"/>
                <w:color w:val="000000"/>
                <w:sz w:val="24"/>
                <w:szCs w:val="24"/>
              </w:rPr>
            </w:pPr>
            <w:r>
              <w:rPr>
                <w:snapToGrid w:val="0"/>
                <w:spacing w:val="8"/>
                <w:sz w:val="24"/>
                <w:szCs w:val="24"/>
                <w:lang w:eastAsia="zh-CN"/>
              </w:rPr>
              <w:t>不配合保障服务部或上级单位检查工作</w:t>
            </w:r>
          </w:p>
        </w:tc>
        <w:tc>
          <w:tcPr>
            <w:tcW w:w="1850" w:type="dxa"/>
            <w:noWrap w:val="0"/>
            <w:vAlign w:val="center"/>
          </w:tcPr>
          <w:p w14:paraId="446749DE">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每次扣4分</w:t>
            </w:r>
          </w:p>
        </w:tc>
        <w:tc>
          <w:tcPr>
            <w:tcW w:w="695" w:type="dxa"/>
            <w:noWrap w:val="0"/>
            <w:vAlign w:val="center"/>
          </w:tcPr>
          <w:p w14:paraId="11F5896E">
            <w:pPr>
              <w:rPr>
                <w:rFonts w:hint="eastAsia" w:ascii="仿宋" w:hAnsi="仿宋" w:eastAsia="仿宋" w:cs="仿宋"/>
                <w:b w:val="0"/>
                <w:bCs w:val="0"/>
                <w:snapToGrid w:val="0"/>
                <w:color w:val="000000"/>
                <w:sz w:val="24"/>
                <w:szCs w:val="24"/>
              </w:rPr>
            </w:pPr>
          </w:p>
        </w:tc>
      </w:tr>
      <w:tr w14:paraId="41AE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2AD23628">
            <w:pPr>
              <w:rPr>
                <w:rFonts w:hint="eastAsia" w:ascii="仿宋" w:hAnsi="仿宋" w:eastAsia="仿宋" w:cs="仿宋"/>
                <w:b w:val="0"/>
                <w:bCs w:val="0"/>
                <w:snapToGrid w:val="0"/>
                <w:color w:val="000000"/>
                <w:sz w:val="24"/>
                <w:szCs w:val="24"/>
              </w:rPr>
            </w:pPr>
          </w:p>
        </w:tc>
        <w:tc>
          <w:tcPr>
            <w:tcW w:w="750" w:type="dxa"/>
            <w:noWrap w:val="0"/>
            <w:vAlign w:val="center"/>
          </w:tcPr>
          <w:p w14:paraId="467978C8">
            <w:pPr>
              <w:pStyle w:val="269"/>
              <w:spacing w:line="175" w:lineRule="auto"/>
              <w:jc w:val="center"/>
              <w:rPr>
                <w:rFonts w:hint="eastAsia" w:ascii="仿宋" w:hAnsi="仿宋" w:eastAsia="仿宋" w:cs="仿宋"/>
                <w:b w:val="0"/>
                <w:bCs w:val="0"/>
                <w:snapToGrid w:val="0"/>
                <w:color w:val="000000"/>
                <w:sz w:val="24"/>
                <w:szCs w:val="24"/>
              </w:rPr>
            </w:pPr>
            <w:r>
              <w:rPr>
                <w:snapToGrid w:val="0"/>
                <w:sz w:val="24"/>
                <w:szCs w:val="24"/>
              </w:rPr>
              <w:t>9</w:t>
            </w:r>
          </w:p>
        </w:tc>
        <w:tc>
          <w:tcPr>
            <w:tcW w:w="5850" w:type="dxa"/>
            <w:noWrap w:val="0"/>
            <w:vAlign w:val="center"/>
          </w:tcPr>
          <w:p w14:paraId="48AE150E">
            <w:pPr>
              <w:pStyle w:val="269"/>
              <w:spacing w:line="200" w:lineRule="auto"/>
              <w:jc w:val="left"/>
              <w:rPr>
                <w:rFonts w:hint="eastAsia" w:ascii="仿宋" w:hAnsi="仿宋" w:eastAsia="仿宋" w:cs="仿宋"/>
                <w:b w:val="0"/>
                <w:bCs w:val="0"/>
                <w:snapToGrid w:val="0"/>
                <w:color w:val="000000"/>
                <w:sz w:val="24"/>
                <w:szCs w:val="24"/>
              </w:rPr>
            </w:pPr>
            <w:r>
              <w:rPr>
                <w:snapToGrid w:val="0"/>
                <w:spacing w:val="7"/>
                <w:sz w:val="24"/>
                <w:szCs w:val="24"/>
              </w:rPr>
              <w:t>无故旷工不请假</w:t>
            </w:r>
          </w:p>
        </w:tc>
        <w:tc>
          <w:tcPr>
            <w:tcW w:w="1850" w:type="dxa"/>
            <w:noWrap w:val="0"/>
            <w:vAlign w:val="center"/>
          </w:tcPr>
          <w:p w14:paraId="5633F085">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每人每次扣4分</w:t>
            </w:r>
          </w:p>
        </w:tc>
        <w:tc>
          <w:tcPr>
            <w:tcW w:w="695" w:type="dxa"/>
            <w:noWrap w:val="0"/>
            <w:vAlign w:val="center"/>
          </w:tcPr>
          <w:p w14:paraId="3EBCDF1D">
            <w:pPr>
              <w:rPr>
                <w:rFonts w:hint="eastAsia" w:ascii="仿宋" w:hAnsi="仿宋" w:eastAsia="仿宋" w:cs="仿宋"/>
                <w:b w:val="0"/>
                <w:bCs w:val="0"/>
                <w:snapToGrid w:val="0"/>
                <w:color w:val="000000"/>
                <w:sz w:val="24"/>
                <w:szCs w:val="24"/>
              </w:rPr>
            </w:pPr>
          </w:p>
        </w:tc>
      </w:tr>
      <w:tr w14:paraId="3448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276CA627">
            <w:pPr>
              <w:rPr>
                <w:rFonts w:hint="eastAsia" w:ascii="仿宋" w:hAnsi="仿宋" w:eastAsia="仿宋" w:cs="仿宋"/>
                <w:b w:val="0"/>
                <w:bCs w:val="0"/>
                <w:snapToGrid w:val="0"/>
                <w:color w:val="000000"/>
                <w:sz w:val="24"/>
                <w:szCs w:val="24"/>
              </w:rPr>
            </w:pPr>
          </w:p>
        </w:tc>
        <w:tc>
          <w:tcPr>
            <w:tcW w:w="750" w:type="dxa"/>
            <w:noWrap w:val="0"/>
            <w:vAlign w:val="center"/>
          </w:tcPr>
          <w:p w14:paraId="337E38D0">
            <w:pPr>
              <w:pStyle w:val="269"/>
              <w:spacing w:line="212" w:lineRule="auto"/>
              <w:jc w:val="center"/>
              <w:rPr>
                <w:rFonts w:hint="eastAsia" w:ascii="仿宋" w:hAnsi="仿宋" w:eastAsia="仿宋" w:cs="仿宋"/>
                <w:b w:val="0"/>
                <w:bCs w:val="0"/>
                <w:snapToGrid w:val="0"/>
                <w:color w:val="000000"/>
                <w:sz w:val="24"/>
                <w:szCs w:val="24"/>
              </w:rPr>
            </w:pPr>
            <w:r>
              <w:rPr>
                <w:snapToGrid w:val="0"/>
                <w:sz w:val="24"/>
                <w:szCs w:val="24"/>
              </w:rPr>
              <w:t>10</w:t>
            </w:r>
          </w:p>
        </w:tc>
        <w:tc>
          <w:tcPr>
            <w:tcW w:w="5850" w:type="dxa"/>
            <w:noWrap w:val="0"/>
            <w:vAlign w:val="center"/>
          </w:tcPr>
          <w:p w14:paraId="78DED16D">
            <w:pPr>
              <w:pStyle w:val="269"/>
              <w:spacing w:line="200" w:lineRule="auto"/>
              <w:jc w:val="left"/>
              <w:rPr>
                <w:rFonts w:hint="eastAsia" w:ascii="仿宋" w:hAnsi="仿宋" w:eastAsia="仿宋" w:cs="仿宋"/>
                <w:b w:val="0"/>
                <w:bCs w:val="0"/>
                <w:snapToGrid w:val="0"/>
                <w:color w:val="000000"/>
                <w:sz w:val="24"/>
                <w:szCs w:val="24"/>
              </w:rPr>
            </w:pPr>
            <w:r>
              <w:rPr>
                <w:snapToGrid w:val="0"/>
                <w:spacing w:val="3"/>
                <w:sz w:val="24"/>
                <w:szCs w:val="24"/>
                <w:lang w:eastAsia="zh-CN"/>
              </w:rPr>
              <w:t>员工发生违法、</w:t>
            </w:r>
            <w:r>
              <w:rPr>
                <w:snapToGrid w:val="0"/>
                <w:spacing w:val="-33"/>
                <w:sz w:val="24"/>
                <w:szCs w:val="24"/>
                <w:lang w:eastAsia="zh-CN"/>
              </w:rPr>
              <w:t xml:space="preserve"> </w:t>
            </w:r>
            <w:r>
              <w:rPr>
                <w:snapToGrid w:val="0"/>
                <w:spacing w:val="3"/>
                <w:sz w:val="24"/>
                <w:szCs w:val="24"/>
                <w:lang w:eastAsia="zh-CN"/>
              </w:rPr>
              <w:t>违规、</w:t>
            </w:r>
            <w:r>
              <w:rPr>
                <w:snapToGrid w:val="0"/>
                <w:spacing w:val="-36"/>
                <w:sz w:val="24"/>
                <w:szCs w:val="24"/>
                <w:lang w:eastAsia="zh-CN"/>
              </w:rPr>
              <w:t xml:space="preserve"> </w:t>
            </w:r>
            <w:r>
              <w:rPr>
                <w:snapToGrid w:val="0"/>
                <w:spacing w:val="3"/>
                <w:sz w:val="24"/>
                <w:szCs w:val="24"/>
                <w:lang w:eastAsia="zh-CN"/>
              </w:rPr>
              <w:t>违纪行为</w:t>
            </w:r>
          </w:p>
        </w:tc>
        <w:tc>
          <w:tcPr>
            <w:tcW w:w="1850" w:type="dxa"/>
            <w:noWrap w:val="0"/>
            <w:vAlign w:val="center"/>
          </w:tcPr>
          <w:p w14:paraId="1A5E7794">
            <w:pPr>
              <w:pStyle w:val="269"/>
              <w:spacing w:line="191" w:lineRule="auto"/>
              <w:ind w:firstLine="3" w:firstLineChars="0"/>
              <w:rPr>
                <w:rFonts w:hint="eastAsia" w:ascii="仿宋" w:hAnsi="仿宋" w:eastAsia="仿宋" w:cs="仿宋"/>
                <w:b w:val="0"/>
                <w:bCs w:val="0"/>
                <w:snapToGrid w:val="0"/>
                <w:color w:val="000000"/>
                <w:sz w:val="24"/>
                <w:szCs w:val="24"/>
              </w:rPr>
            </w:pPr>
            <w:r>
              <w:rPr>
                <w:snapToGrid w:val="0"/>
                <w:spacing w:val="-1"/>
                <w:sz w:val="24"/>
                <w:szCs w:val="24"/>
                <w:lang w:eastAsia="zh-CN"/>
              </w:rPr>
              <w:t>每人每次扣5-10 分，并辞</w:t>
            </w:r>
            <w:r>
              <w:rPr>
                <w:snapToGrid w:val="0"/>
                <w:spacing w:val="6"/>
                <w:sz w:val="24"/>
                <w:szCs w:val="24"/>
                <w:lang w:eastAsia="zh-CN"/>
              </w:rPr>
              <w:t>退相关员工</w:t>
            </w:r>
          </w:p>
        </w:tc>
        <w:tc>
          <w:tcPr>
            <w:tcW w:w="695" w:type="dxa"/>
            <w:noWrap w:val="0"/>
            <w:vAlign w:val="center"/>
          </w:tcPr>
          <w:p w14:paraId="07CA2096">
            <w:pPr>
              <w:rPr>
                <w:rFonts w:hint="eastAsia" w:ascii="仿宋" w:hAnsi="仿宋" w:eastAsia="仿宋" w:cs="仿宋"/>
                <w:b w:val="0"/>
                <w:bCs w:val="0"/>
                <w:snapToGrid w:val="0"/>
                <w:color w:val="000000"/>
                <w:sz w:val="24"/>
                <w:szCs w:val="24"/>
              </w:rPr>
            </w:pPr>
          </w:p>
        </w:tc>
      </w:tr>
      <w:tr w14:paraId="5CEE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028DAB47">
            <w:pPr>
              <w:rPr>
                <w:rFonts w:hint="eastAsia" w:ascii="仿宋" w:hAnsi="仿宋" w:eastAsia="仿宋" w:cs="仿宋"/>
                <w:b w:val="0"/>
                <w:bCs w:val="0"/>
                <w:snapToGrid w:val="0"/>
                <w:color w:val="000000"/>
                <w:sz w:val="24"/>
                <w:szCs w:val="24"/>
              </w:rPr>
            </w:pPr>
          </w:p>
        </w:tc>
        <w:tc>
          <w:tcPr>
            <w:tcW w:w="750" w:type="dxa"/>
            <w:noWrap w:val="0"/>
            <w:vAlign w:val="center"/>
          </w:tcPr>
          <w:p w14:paraId="4D066110">
            <w:pPr>
              <w:pStyle w:val="269"/>
              <w:spacing w:line="213" w:lineRule="auto"/>
              <w:jc w:val="center"/>
              <w:rPr>
                <w:rFonts w:hint="eastAsia" w:ascii="仿宋" w:hAnsi="仿宋" w:eastAsia="仿宋" w:cs="仿宋"/>
                <w:b w:val="0"/>
                <w:bCs w:val="0"/>
                <w:snapToGrid w:val="0"/>
                <w:color w:val="000000"/>
                <w:sz w:val="24"/>
                <w:szCs w:val="24"/>
              </w:rPr>
            </w:pPr>
            <w:r>
              <w:rPr>
                <w:snapToGrid w:val="0"/>
                <w:spacing w:val="13"/>
                <w:sz w:val="24"/>
                <w:szCs w:val="24"/>
              </w:rPr>
              <w:t>11</w:t>
            </w:r>
          </w:p>
        </w:tc>
        <w:tc>
          <w:tcPr>
            <w:tcW w:w="5850" w:type="dxa"/>
            <w:noWrap w:val="0"/>
            <w:vAlign w:val="center"/>
          </w:tcPr>
          <w:p w14:paraId="55F82768">
            <w:pPr>
              <w:pStyle w:val="269"/>
              <w:spacing w:line="191" w:lineRule="auto"/>
              <w:jc w:val="left"/>
              <w:rPr>
                <w:rFonts w:hint="eastAsia" w:ascii="仿宋" w:hAnsi="仿宋" w:eastAsia="仿宋" w:cs="仿宋"/>
                <w:b w:val="0"/>
                <w:bCs w:val="0"/>
                <w:snapToGrid w:val="0"/>
                <w:color w:val="000000"/>
                <w:sz w:val="24"/>
                <w:szCs w:val="24"/>
              </w:rPr>
            </w:pPr>
            <w:r>
              <w:rPr>
                <w:snapToGrid w:val="0"/>
                <w:spacing w:val="16"/>
                <w:sz w:val="24"/>
                <w:szCs w:val="24"/>
                <w:lang w:eastAsia="zh-CN"/>
              </w:rPr>
              <w:t>无故不参加保障服务部或上级组织的活</w:t>
            </w:r>
            <w:r>
              <w:rPr>
                <w:snapToGrid w:val="0"/>
                <w:spacing w:val="5"/>
                <w:sz w:val="24"/>
                <w:szCs w:val="24"/>
                <w:lang w:eastAsia="zh-CN"/>
              </w:rPr>
              <w:t>动或会议</w:t>
            </w:r>
          </w:p>
        </w:tc>
        <w:tc>
          <w:tcPr>
            <w:tcW w:w="1850" w:type="dxa"/>
            <w:noWrap w:val="0"/>
            <w:vAlign w:val="center"/>
          </w:tcPr>
          <w:p w14:paraId="3886558E">
            <w:pPr>
              <w:pStyle w:val="269"/>
              <w:spacing w:line="200" w:lineRule="auto"/>
              <w:rPr>
                <w:rFonts w:hint="eastAsia" w:ascii="仿宋" w:hAnsi="仿宋" w:eastAsia="仿宋" w:cs="仿宋"/>
                <w:b w:val="0"/>
                <w:bCs w:val="0"/>
                <w:snapToGrid w:val="0"/>
                <w:color w:val="000000"/>
                <w:sz w:val="24"/>
                <w:szCs w:val="24"/>
              </w:rPr>
            </w:pPr>
            <w:r>
              <w:rPr>
                <w:snapToGrid w:val="0"/>
                <w:spacing w:val="4"/>
                <w:sz w:val="24"/>
                <w:szCs w:val="24"/>
              </w:rPr>
              <w:t>每人每次扣1分</w:t>
            </w:r>
          </w:p>
        </w:tc>
        <w:tc>
          <w:tcPr>
            <w:tcW w:w="695" w:type="dxa"/>
            <w:noWrap w:val="0"/>
            <w:vAlign w:val="center"/>
          </w:tcPr>
          <w:p w14:paraId="41254976">
            <w:pPr>
              <w:rPr>
                <w:rFonts w:hint="eastAsia" w:ascii="仿宋" w:hAnsi="仿宋" w:eastAsia="仿宋" w:cs="仿宋"/>
                <w:b w:val="0"/>
                <w:bCs w:val="0"/>
                <w:snapToGrid w:val="0"/>
                <w:color w:val="000000"/>
                <w:sz w:val="24"/>
                <w:szCs w:val="24"/>
              </w:rPr>
            </w:pPr>
          </w:p>
        </w:tc>
      </w:tr>
      <w:tr w14:paraId="59FB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02CB0044">
            <w:pPr>
              <w:rPr>
                <w:rFonts w:hint="eastAsia" w:ascii="仿宋" w:hAnsi="仿宋" w:eastAsia="仿宋" w:cs="仿宋"/>
                <w:b w:val="0"/>
                <w:bCs w:val="0"/>
                <w:snapToGrid w:val="0"/>
                <w:color w:val="000000"/>
                <w:sz w:val="24"/>
                <w:szCs w:val="24"/>
              </w:rPr>
            </w:pPr>
          </w:p>
        </w:tc>
        <w:tc>
          <w:tcPr>
            <w:tcW w:w="750" w:type="dxa"/>
            <w:noWrap w:val="0"/>
            <w:vAlign w:val="center"/>
          </w:tcPr>
          <w:p w14:paraId="5F017ADA">
            <w:pPr>
              <w:pStyle w:val="269"/>
              <w:spacing w:line="175" w:lineRule="auto"/>
              <w:jc w:val="center"/>
              <w:rPr>
                <w:rFonts w:hint="eastAsia" w:ascii="仿宋" w:hAnsi="仿宋" w:eastAsia="仿宋" w:cs="仿宋"/>
                <w:b w:val="0"/>
                <w:bCs w:val="0"/>
                <w:snapToGrid w:val="0"/>
                <w:color w:val="000000"/>
                <w:sz w:val="24"/>
                <w:szCs w:val="24"/>
              </w:rPr>
            </w:pPr>
            <w:r>
              <w:rPr>
                <w:snapToGrid w:val="0"/>
                <w:sz w:val="24"/>
                <w:szCs w:val="24"/>
              </w:rPr>
              <w:t>12</w:t>
            </w:r>
          </w:p>
        </w:tc>
        <w:tc>
          <w:tcPr>
            <w:tcW w:w="5850" w:type="dxa"/>
            <w:noWrap w:val="0"/>
            <w:vAlign w:val="center"/>
          </w:tcPr>
          <w:p w14:paraId="306A266A">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lang w:eastAsia="zh-CN"/>
              </w:rPr>
              <w:t>新入职员工未经岗前培训即上岗</w:t>
            </w:r>
          </w:p>
        </w:tc>
        <w:tc>
          <w:tcPr>
            <w:tcW w:w="1850" w:type="dxa"/>
            <w:noWrap w:val="0"/>
            <w:vAlign w:val="center"/>
          </w:tcPr>
          <w:p w14:paraId="117AE997">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每人每次扣2分</w:t>
            </w:r>
          </w:p>
        </w:tc>
        <w:tc>
          <w:tcPr>
            <w:tcW w:w="695" w:type="dxa"/>
            <w:noWrap w:val="0"/>
            <w:vAlign w:val="center"/>
          </w:tcPr>
          <w:p w14:paraId="062C58AC">
            <w:pPr>
              <w:rPr>
                <w:rFonts w:hint="eastAsia" w:ascii="仿宋" w:hAnsi="仿宋" w:eastAsia="仿宋" w:cs="仿宋"/>
                <w:b w:val="0"/>
                <w:bCs w:val="0"/>
                <w:snapToGrid w:val="0"/>
                <w:color w:val="000000"/>
                <w:sz w:val="24"/>
                <w:szCs w:val="24"/>
              </w:rPr>
            </w:pPr>
          </w:p>
        </w:tc>
      </w:tr>
      <w:tr w14:paraId="361E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55B6C3FF">
            <w:pPr>
              <w:rPr>
                <w:rFonts w:hint="eastAsia" w:ascii="仿宋" w:hAnsi="仿宋" w:eastAsia="仿宋" w:cs="仿宋"/>
                <w:b w:val="0"/>
                <w:bCs w:val="0"/>
                <w:snapToGrid w:val="0"/>
                <w:color w:val="000000"/>
                <w:sz w:val="24"/>
                <w:szCs w:val="24"/>
              </w:rPr>
            </w:pPr>
          </w:p>
        </w:tc>
        <w:tc>
          <w:tcPr>
            <w:tcW w:w="750" w:type="dxa"/>
            <w:noWrap w:val="0"/>
            <w:vAlign w:val="center"/>
          </w:tcPr>
          <w:p w14:paraId="7DFCA31A">
            <w:pPr>
              <w:pStyle w:val="269"/>
              <w:spacing w:line="175" w:lineRule="auto"/>
              <w:jc w:val="center"/>
              <w:rPr>
                <w:rFonts w:hint="eastAsia" w:ascii="仿宋" w:hAnsi="仿宋" w:eastAsia="仿宋" w:cs="仿宋"/>
                <w:b w:val="0"/>
                <w:bCs w:val="0"/>
                <w:snapToGrid w:val="0"/>
                <w:color w:val="000000"/>
                <w:sz w:val="24"/>
                <w:szCs w:val="24"/>
              </w:rPr>
            </w:pPr>
            <w:r>
              <w:rPr>
                <w:snapToGrid w:val="0"/>
                <w:sz w:val="24"/>
                <w:szCs w:val="24"/>
              </w:rPr>
              <w:t>13</w:t>
            </w:r>
          </w:p>
        </w:tc>
        <w:tc>
          <w:tcPr>
            <w:tcW w:w="5850" w:type="dxa"/>
            <w:noWrap w:val="0"/>
            <w:vAlign w:val="center"/>
          </w:tcPr>
          <w:p w14:paraId="3D32E5CE">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lang w:eastAsia="zh-CN"/>
              </w:rPr>
              <w:t>未进行工作技能考核或没有相关记录</w:t>
            </w:r>
          </w:p>
        </w:tc>
        <w:tc>
          <w:tcPr>
            <w:tcW w:w="1850" w:type="dxa"/>
            <w:noWrap w:val="0"/>
            <w:vAlign w:val="center"/>
          </w:tcPr>
          <w:p w14:paraId="3626CAE6">
            <w:pPr>
              <w:pStyle w:val="269"/>
              <w:spacing w:line="175" w:lineRule="auto"/>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95" w:type="dxa"/>
            <w:noWrap w:val="0"/>
            <w:vAlign w:val="center"/>
          </w:tcPr>
          <w:p w14:paraId="07E5953B">
            <w:pPr>
              <w:rPr>
                <w:rFonts w:hint="eastAsia" w:ascii="仿宋" w:hAnsi="仿宋" w:eastAsia="仿宋" w:cs="仿宋"/>
                <w:b w:val="0"/>
                <w:bCs w:val="0"/>
                <w:snapToGrid w:val="0"/>
                <w:color w:val="000000"/>
                <w:sz w:val="24"/>
                <w:szCs w:val="24"/>
              </w:rPr>
            </w:pPr>
          </w:p>
        </w:tc>
      </w:tr>
      <w:tr w14:paraId="2E34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21800D82">
            <w:pPr>
              <w:rPr>
                <w:rFonts w:hint="eastAsia" w:ascii="仿宋" w:hAnsi="仿宋" w:eastAsia="仿宋" w:cs="仿宋"/>
                <w:b w:val="0"/>
                <w:bCs w:val="0"/>
                <w:snapToGrid w:val="0"/>
                <w:color w:val="000000"/>
                <w:sz w:val="24"/>
                <w:szCs w:val="24"/>
              </w:rPr>
            </w:pPr>
          </w:p>
        </w:tc>
        <w:tc>
          <w:tcPr>
            <w:tcW w:w="750" w:type="dxa"/>
            <w:noWrap w:val="0"/>
            <w:vAlign w:val="center"/>
          </w:tcPr>
          <w:p w14:paraId="4F692FDA">
            <w:pPr>
              <w:pStyle w:val="269"/>
              <w:spacing w:line="213" w:lineRule="auto"/>
              <w:jc w:val="center"/>
              <w:rPr>
                <w:rFonts w:hint="eastAsia" w:ascii="仿宋" w:hAnsi="仿宋" w:eastAsia="仿宋" w:cs="仿宋"/>
                <w:b w:val="0"/>
                <w:bCs w:val="0"/>
                <w:snapToGrid w:val="0"/>
                <w:color w:val="000000"/>
                <w:sz w:val="24"/>
                <w:szCs w:val="24"/>
              </w:rPr>
            </w:pPr>
            <w:r>
              <w:rPr>
                <w:snapToGrid w:val="0"/>
                <w:sz w:val="24"/>
                <w:szCs w:val="24"/>
              </w:rPr>
              <w:t>14</w:t>
            </w:r>
          </w:p>
        </w:tc>
        <w:tc>
          <w:tcPr>
            <w:tcW w:w="5850" w:type="dxa"/>
            <w:noWrap w:val="0"/>
            <w:vAlign w:val="center"/>
          </w:tcPr>
          <w:p w14:paraId="60D74160">
            <w:pPr>
              <w:pStyle w:val="269"/>
              <w:spacing w:line="190" w:lineRule="auto"/>
              <w:ind w:firstLine="5" w:firstLineChars="0"/>
              <w:jc w:val="left"/>
              <w:rPr>
                <w:rFonts w:hint="eastAsia" w:ascii="仿宋" w:hAnsi="仿宋" w:eastAsia="仿宋" w:cs="仿宋"/>
                <w:b w:val="0"/>
                <w:bCs w:val="0"/>
                <w:snapToGrid w:val="0"/>
                <w:color w:val="000000"/>
                <w:sz w:val="24"/>
                <w:szCs w:val="24"/>
              </w:rPr>
            </w:pPr>
            <w:r>
              <w:rPr>
                <w:snapToGrid w:val="0"/>
                <w:spacing w:val="16"/>
                <w:sz w:val="24"/>
                <w:szCs w:val="24"/>
                <w:lang w:eastAsia="zh-CN"/>
              </w:rPr>
              <w:t>不认真履行保障服务部或上级的规章制</w:t>
            </w:r>
            <w:r>
              <w:rPr>
                <w:snapToGrid w:val="0"/>
                <w:sz w:val="24"/>
                <w:szCs w:val="24"/>
                <w:lang w:eastAsia="zh-CN"/>
              </w:rPr>
              <w:t>度</w:t>
            </w:r>
          </w:p>
        </w:tc>
        <w:tc>
          <w:tcPr>
            <w:tcW w:w="1850" w:type="dxa"/>
            <w:noWrap w:val="0"/>
            <w:vAlign w:val="center"/>
          </w:tcPr>
          <w:p w14:paraId="6CA3652C">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95" w:type="dxa"/>
            <w:noWrap w:val="0"/>
            <w:vAlign w:val="center"/>
          </w:tcPr>
          <w:p w14:paraId="1469CFFB">
            <w:pPr>
              <w:rPr>
                <w:rFonts w:hint="eastAsia" w:ascii="仿宋" w:hAnsi="仿宋" w:eastAsia="仿宋" w:cs="仿宋"/>
                <w:b w:val="0"/>
                <w:bCs w:val="0"/>
                <w:snapToGrid w:val="0"/>
                <w:color w:val="000000"/>
                <w:sz w:val="24"/>
                <w:szCs w:val="24"/>
              </w:rPr>
            </w:pPr>
          </w:p>
        </w:tc>
      </w:tr>
      <w:tr w14:paraId="0EEB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493" w:type="dxa"/>
            <w:vMerge w:val="continue"/>
            <w:tcBorders>
              <w:top w:val="nil"/>
            </w:tcBorders>
            <w:noWrap w:val="0"/>
            <w:vAlign w:val="center"/>
          </w:tcPr>
          <w:p w14:paraId="01F09114">
            <w:pPr>
              <w:rPr>
                <w:rFonts w:hint="eastAsia" w:ascii="仿宋" w:hAnsi="仿宋" w:eastAsia="仿宋" w:cs="仿宋"/>
                <w:b w:val="0"/>
                <w:bCs w:val="0"/>
                <w:snapToGrid w:val="0"/>
                <w:color w:val="000000"/>
                <w:sz w:val="24"/>
                <w:szCs w:val="24"/>
              </w:rPr>
            </w:pPr>
          </w:p>
        </w:tc>
        <w:tc>
          <w:tcPr>
            <w:tcW w:w="750" w:type="dxa"/>
            <w:noWrap w:val="0"/>
            <w:vAlign w:val="center"/>
          </w:tcPr>
          <w:p w14:paraId="7E2E1B4D">
            <w:pPr>
              <w:pStyle w:val="269"/>
              <w:spacing w:line="212" w:lineRule="auto"/>
              <w:jc w:val="center"/>
              <w:rPr>
                <w:rFonts w:hint="eastAsia" w:ascii="仿宋" w:hAnsi="仿宋" w:eastAsia="仿宋" w:cs="仿宋"/>
                <w:b w:val="0"/>
                <w:bCs w:val="0"/>
                <w:snapToGrid w:val="0"/>
                <w:color w:val="000000"/>
                <w:sz w:val="24"/>
                <w:szCs w:val="24"/>
              </w:rPr>
            </w:pPr>
            <w:r>
              <w:rPr>
                <w:snapToGrid w:val="0"/>
                <w:sz w:val="24"/>
                <w:szCs w:val="24"/>
              </w:rPr>
              <w:t>15</w:t>
            </w:r>
          </w:p>
        </w:tc>
        <w:tc>
          <w:tcPr>
            <w:tcW w:w="5850" w:type="dxa"/>
            <w:noWrap w:val="0"/>
            <w:vAlign w:val="center"/>
          </w:tcPr>
          <w:p w14:paraId="5909490B">
            <w:pPr>
              <w:pStyle w:val="269"/>
              <w:spacing w:line="191" w:lineRule="auto"/>
              <w:ind w:hanging="4" w:firstLineChars="0"/>
              <w:jc w:val="left"/>
              <w:rPr>
                <w:rFonts w:hint="eastAsia" w:ascii="仿宋" w:hAnsi="仿宋" w:eastAsia="仿宋" w:cs="仿宋"/>
                <w:b w:val="0"/>
                <w:bCs w:val="0"/>
                <w:snapToGrid w:val="0"/>
                <w:color w:val="000000"/>
                <w:sz w:val="24"/>
                <w:szCs w:val="24"/>
              </w:rPr>
            </w:pPr>
            <w:r>
              <w:rPr>
                <w:snapToGrid w:val="0"/>
                <w:spacing w:val="17"/>
                <w:sz w:val="24"/>
                <w:szCs w:val="24"/>
                <w:lang w:eastAsia="zh-CN"/>
              </w:rPr>
              <w:t>未按时完成保障服务部或上级指派的任</w:t>
            </w:r>
            <w:r>
              <w:rPr>
                <w:snapToGrid w:val="0"/>
                <w:sz w:val="24"/>
                <w:szCs w:val="24"/>
                <w:lang w:eastAsia="zh-CN"/>
              </w:rPr>
              <w:t>务</w:t>
            </w:r>
          </w:p>
        </w:tc>
        <w:tc>
          <w:tcPr>
            <w:tcW w:w="1850" w:type="dxa"/>
            <w:noWrap w:val="0"/>
            <w:vAlign w:val="center"/>
          </w:tcPr>
          <w:p w14:paraId="501761B0">
            <w:pPr>
              <w:pStyle w:val="269"/>
              <w:spacing w:line="200" w:lineRule="auto"/>
              <w:rPr>
                <w:rFonts w:hint="eastAsia" w:ascii="仿宋" w:hAnsi="仿宋" w:eastAsia="仿宋" w:cs="仿宋"/>
                <w:b w:val="0"/>
                <w:bCs w:val="0"/>
                <w:snapToGrid w:val="0"/>
                <w:color w:val="000000"/>
                <w:sz w:val="24"/>
                <w:szCs w:val="24"/>
              </w:rPr>
            </w:pPr>
            <w:r>
              <w:rPr>
                <w:snapToGrid w:val="0"/>
                <w:spacing w:val="8"/>
                <w:sz w:val="24"/>
                <w:szCs w:val="24"/>
              </w:rPr>
              <w:t>每次扣4分</w:t>
            </w:r>
          </w:p>
        </w:tc>
        <w:tc>
          <w:tcPr>
            <w:tcW w:w="695" w:type="dxa"/>
            <w:noWrap w:val="0"/>
            <w:vAlign w:val="center"/>
          </w:tcPr>
          <w:p w14:paraId="40AA5584">
            <w:pPr>
              <w:rPr>
                <w:rFonts w:hint="eastAsia" w:ascii="仿宋" w:hAnsi="仿宋" w:eastAsia="仿宋" w:cs="仿宋"/>
                <w:b w:val="0"/>
                <w:bCs w:val="0"/>
                <w:snapToGrid w:val="0"/>
                <w:color w:val="000000"/>
                <w:sz w:val="24"/>
                <w:szCs w:val="24"/>
              </w:rPr>
            </w:pPr>
          </w:p>
        </w:tc>
      </w:tr>
      <w:tr w14:paraId="1AAC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restart"/>
            <w:tcBorders>
              <w:bottom w:val="nil"/>
            </w:tcBorders>
            <w:noWrap w:val="0"/>
            <w:vAlign w:val="center"/>
          </w:tcPr>
          <w:p w14:paraId="7593B9BB">
            <w:pPr>
              <w:spacing w:line="275" w:lineRule="auto"/>
              <w:rPr>
                <w:rFonts w:hint="default" w:ascii="仿宋" w:hAnsi="仿宋" w:eastAsia="仿宋" w:cs="仿宋"/>
                <w:snapToGrid w:val="0"/>
                <w:sz w:val="24"/>
                <w:szCs w:val="24"/>
              </w:rPr>
            </w:pPr>
          </w:p>
          <w:p w14:paraId="6EF75A09">
            <w:pPr>
              <w:spacing w:line="275" w:lineRule="auto"/>
              <w:rPr>
                <w:rFonts w:hint="default" w:ascii="仿宋" w:hAnsi="仿宋" w:eastAsia="仿宋" w:cs="仿宋"/>
                <w:snapToGrid w:val="0"/>
                <w:sz w:val="24"/>
                <w:szCs w:val="24"/>
              </w:rPr>
            </w:pPr>
          </w:p>
          <w:p w14:paraId="7940AE4C">
            <w:pPr>
              <w:spacing w:line="276" w:lineRule="auto"/>
              <w:rPr>
                <w:rFonts w:hint="default" w:ascii="仿宋" w:hAnsi="仿宋" w:eastAsia="仿宋" w:cs="仿宋"/>
                <w:snapToGrid w:val="0"/>
                <w:sz w:val="24"/>
                <w:szCs w:val="24"/>
              </w:rPr>
            </w:pPr>
          </w:p>
          <w:p w14:paraId="4F3953CB">
            <w:pPr>
              <w:pStyle w:val="269"/>
              <w:spacing w:line="326" w:lineRule="auto"/>
              <w:ind w:hanging="7" w:firstLineChars="0"/>
              <w:rPr>
                <w:rFonts w:hint="eastAsia" w:ascii="仿宋" w:hAnsi="仿宋" w:eastAsia="仿宋" w:cs="仿宋"/>
                <w:b w:val="0"/>
                <w:bCs w:val="0"/>
                <w:snapToGrid w:val="0"/>
                <w:color w:val="000000"/>
                <w:sz w:val="24"/>
                <w:szCs w:val="24"/>
              </w:rPr>
            </w:pPr>
            <w:r>
              <w:rPr>
                <w:snapToGrid w:val="0"/>
                <w:spacing w:val="-1"/>
                <w:sz w:val="24"/>
                <w:szCs w:val="24"/>
              </w:rPr>
              <w:t>维修</w:t>
            </w:r>
            <w:r>
              <w:rPr>
                <w:snapToGrid w:val="0"/>
                <w:spacing w:val="-5"/>
                <w:sz w:val="24"/>
                <w:szCs w:val="24"/>
              </w:rPr>
              <w:t>管理</w:t>
            </w:r>
          </w:p>
        </w:tc>
        <w:tc>
          <w:tcPr>
            <w:tcW w:w="750" w:type="dxa"/>
            <w:noWrap w:val="0"/>
            <w:vAlign w:val="center"/>
          </w:tcPr>
          <w:p w14:paraId="57A69CD4">
            <w:pPr>
              <w:pStyle w:val="269"/>
              <w:spacing w:line="174" w:lineRule="auto"/>
              <w:jc w:val="center"/>
              <w:rPr>
                <w:rFonts w:hint="eastAsia" w:ascii="仿宋" w:hAnsi="仿宋" w:eastAsia="仿宋" w:cs="仿宋"/>
                <w:b w:val="0"/>
                <w:bCs w:val="0"/>
                <w:snapToGrid w:val="0"/>
                <w:color w:val="000000"/>
                <w:sz w:val="24"/>
                <w:szCs w:val="24"/>
              </w:rPr>
            </w:pPr>
            <w:r>
              <w:rPr>
                <w:snapToGrid w:val="0"/>
                <w:sz w:val="24"/>
                <w:szCs w:val="24"/>
              </w:rPr>
              <w:t>16</w:t>
            </w:r>
          </w:p>
        </w:tc>
        <w:tc>
          <w:tcPr>
            <w:tcW w:w="5850" w:type="dxa"/>
            <w:noWrap w:val="0"/>
            <w:vAlign w:val="center"/>
          </w:tcPr>
          <w:p w14:paraId="7B4BC47E">
            <w:pPr>
              <w:pStyle w:val="269"/>
              <w:spacing w:line="199" w:lineRule="auto"/>
              <w:jc w:val="left"/>
              <w:rPr>
                <w:rFonts w:hint="eastAsia" w:ascii="仿宋" w:hAnsi="仿宋" w:eastAsia="仿宋" w:cs="仿宋"/>
                <w:b w:val="0"/>
                <w:bCs w:val="0"/>
                <w:snapToGrid w:val="0"/>
                <w:color w:val="000000"/>
                <w:sz w:val="24"/>
                <w:szCs w:val="24"/>
              </w:rPr>
            </w:pPr>
            <w:r>
              <w:rPr>
                <w:snapToGrid w:val="0"/>
                <w:spacing w:val="9"/>
                <w:sz w:val="24"/>
                <w:szCs w:val="24"/>
                <w:lang w:eastAsia="zh-CN"/>
              </w:rPr>
              <w:t>接到维修任务未在规定时间内到达现场</w:t>
            </w:r>
          </w:p>
        </w:tc>
        <w:tc>
          <w:tcPr>
            <w:tcW w:w="1850" w:type="dxa"/>
            <w:noWrap w:val="0"/>
            <w:vAlign w:val="center"/>
          </w:tcPr>
          <w:p w14:paraId="0771EE79">
            <w:pPr>
              <w:pStyle w:val="269"/>
              <w:spacing w:line="174" w:lineRule="auto"/>
              <w:rPr>
                <w:rFonts w:hint="eastAsia" w:ascii="仿宋" w:hAnsi="仿宋" w:eastAsia="仿宋" w:cs="仿宋"/>
                <w:b w:val="0"/>
                <w:bCs w:val="0"/>
                <w:snapToGrid w:val="0"/>
                <w:color w:val="000000"/>
                <w:sz w:val="24"/>
                <w:szCs w:val="24"/>
              </w:rPr>
            </w:pPr>
            <w:r>
              <w:rPr>
                <w:snapToGrid w:val="0"/>
                <w:spacing w:val="2"/>
                <w:sz w:val="24"/>
                <w:szCs w:val="24"/>
              </w:rPr>
              <w:t>每次扣1分</w:t>
            </w:r>
          </w:p>
        </w:tc>
        <w:tc>
          <w:tcPr>
            <w:tcW w:w="695" w:type="dxa"/>
            <w:noWrap w:val="0"/>
            <w:vAlign w:val="center"/>
          </w:tcPr>
          <w:p w14:paraId="695162F1">
            <w:pPr>
              <w:rPr>
                <w:rFonts w:hint="eastAsia" w:ascii="仿宋" w:hAnsi="仿宋" w:eastAsia="仿宋" w:cs="仿宋"/>
                <w:b w:val="0"/>
                <w:bCs w:val="0"/>
                <w:snapToGrid w:val="0"/>
                <w:color w:val="000000"/>
                <w:sz w:val="24"/>
                <w:szCs w:val="24"/>
              </w:rPr>
            </w:pPr>
          </w:p>
        </w:tc>
      </w:tr>
      <w:tr w14:paraId="2D03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4D7C4179">
            <w:pPr>
              <w:rPr>
                <w:rFonts w:hint="eastAsia" w:ascii="仿宋" w:hAnsi="仿宋" w:eastAsia="仿宋" w:cs="仿宋"/>
                <w:b w:val="0"/>
                <w:bCs w:val="0"/>
                <w:snapToGrid w:val="0"/>
                <w:color w:val="000000"/>
                <w:sz w:val="24"/>
                <w:szCs w:val="24"/>
              </w:rPr>
            </w:pPr>
          </w:p>
        </w:tc>
        <w:tc>
          <w:tcPr>
            <w:tcW w:w="750" w:type="dxa"/>
            <w:noWrap w:val="0"/>
            <w:vAlign w:val="center"/>
          </w:tcPr>
          <w:p w14:paraId="34EEF615">
            <w:pPr>
              <w:pStyle w:val="269"/>
              <w:spacing w:line="174" w:lineRule="auto"/>
              <w:jc w:val="center"/>
              <w:rPr>
                <w:rFonts w:hint="eastAsia" w:ascii="仿宋" w:hAnsi="仿宋" w:eastAsia="仿宋" w:cs="仿宋"/>
                <w:b w:val="0"/>
                <w:bCs w:val="0"/>
                <w:snapToGrid w:val="0"/>
                <w:color w:val="000000"/>
                <w:sz w:val="24"/>
                <w:szCs w:val="24"/>
              </w:rPr>
            </w:pPr>
            <w:r>
              <w:rPr>
                <w:snapToGrid w:val="0"/>
                <w:sz w:val="24"/>
                <w:szCs w:val="24"/>
              </w:rPr>
              <w:t>17</w:t>
            </w:r>
          </w:p>
        </w:tc>
        <w:tc>
          <w:tcPr>
            <w:tcW w:w="5850" w:type="dxa"/>
            <w:noWrap w:val="0"/>
            <w:vAlign w:val="center"/>
          </w:tcPr>
          <w:p w14:paraId="7E5FBCB5">
            <w:pPr>
              <w:pStyle w:val="269"/>
              <w:spacing w:line="199" w:lineRule="auto"/>
              <w:jc w:val="left"/>
              <w:rPr>
                <w:rFonts w:hint="eastAsia" w:ascii="仿宋" w:hAnsi="仿宋" w:eastAsia="仿宋" w:cs="仿宋"/>
                <w:b w:val="0"/>
                <w:bCs w:val="0"/>
                <w:snapToGrid w:val="0"/>
                <w:color w:val="000000"/>
                <w:sz w:val="24"/>
                <w:szCs w:val="24"/>
              </w:rPr>
            </w:pPr>
            <w:r>
              <w:rPr>
                <w:snapToGrid w:val="0"/>
                <w:spacing w:val="9"/>
                <w:sz w:val="24"/>
                <w:szCs w:val="24"/>
                <w:lang w:eastAsia="zh-CN"/>
              </w:rPr>
              <w:t>接到急修任务未在规定时间内到达现场</w:t>
            </w:r>
          </w:p>
        </w:tc>
        <w:tc>
          <w:tcPr>
            <w:tcW w:w="1850" w:type="dxa"/>
            <w:noWrap w:val="0"/>
            <w:vAlign w:val="center"/>
          </w:tcPr>
          <w:p w14:paraId="1C0C7C97">
            <w:pPr>
              <w:pStyle w:val="269"/>
              <w:spacing w:line="174" w:lineRule="auto"/>
              <w:rPr>
                <w:rFonts w:hint="eastAsia" w:ascii="仿宋" w:hAnsi="仿宋" w:eastAsia="仿宋" w:cs="仿宋"/>
                <w:b w:val="0"/>
                <w:bCs w:val="0"/>
                <w:snapToGrid w:val="0"/>
                <w:color w:val="000000"/>
                <w:sz w:val="24"/>
                <w:szCs w:val="24"/>
              </w:rPr>
            </w:pPr>
            <w:r>
              <w:rPr>
                <w:snapToGrid w:val="0"/>
                <w:spacing w:val="8"/>
                <w:sz w:val="24"/>
                <w:szCs w:val="24"/>
              </w:rPr>
              <w:t>每次扣</w:t>
            </w:r>
            <w:r>
              <w:rPr>
                <w:rFonts w:hint="eastAsia"/>
                <w:snapToGrid w:val="0"/>
                <w:spacing w:val="8"/>
                <w:sz w:val="24"/>
                <w:szCs w:val="24"/>
                <w:lang w:val="en-US" w:eastAsia="zh-CN"/>
              </w:rPr>
              <w:t>1</w:t>
            </w:r>
            <w:r>
              <w:rPr>
                <w:snapToGrid w:val="0"/>
                <w:spacing w:val="8"/>
                <w:sz w:val="24"/>
                <w:szCs w:val="24"/>
              </w:rPr>
              <w:t>分</w:t>
            </w:r>
          </w:p>
        </w:tc>
        <w:tc>
          <w:tcPr>
            <w:tcW w:w="695" w:type="dxa"/>
            <w:noWrap w:val="0"/>
            <w:vAlign w:val="center"/>
          </w:tcPr>
          <w:p w14:paraId="21001CEA">
            <w:pPr>
              <w:rPr>
                <w:rFonts w:hint="eastAsia" w:ascii="仿宋" w:hAnsi="仿宋" w:eastAsia="仿宋" w:cs="仿宋"/>
                <w:b w:val="0"/>
                <w:bCs w:val="0"/>
                <w:snapToGrid w:val="0"/>
                <w:color w:val="000000"/>
                <w:sz w:val="24"/>
                <w:szCs w:val="24"/>
              </w:rPr>
            </w:pPr>
          </w:p>
        </w:tc>
      </w:tr>
      <w:tr w14:paraId="4517B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4B840420">
            <w:pPr>
              <w:rPr>
                <w:rFonts w:hint="eastAsia" w:ascii="仿宋" w:hAnsi="仿宋" w:eastAsia="仿宋" w:cs="仿宋"/>
                <w:b w:val="0"/>
                <w:bCs w:val="0"/>
                <w:snapToGrid w:val="0"/>
                <w:color w:val="000000"/>
                <w:sz w:val="24"/>
                <w:szCs w:val="24"/>
              </w:rPr>
            </w:pPr>
          </w:p>
        </w:tc>
        <w:tc>
          <w:tcPr>
            <w:tcW w:w="750" w:type="dxa"/>
            <w:noWrap w:val="0"/>
            <w:vAlign w:val="center"/>
          </w:tcPr>
          <w:p w14:paraId="576C48D3">
            <w:pPr>
              <w:pStyle w:val="269"/>
              <w:spacing w:line="175" w:lineRule="auto"/>
              <w:jc w:val="center"/>
              <w:rPr>
                <w:rFonts w:hint="eastAsia" w:ascii="仿宋" w:hAnsi="仿宋" w:eastAsia="仿宋" w:cs="仿宋"/>
                <w:b w:val="0"/>
                <w:bCs w:val="0"/>
                <w:snapToGrid w:val="0"/>
                <w:color w:val="000000"/>
                <w:sz w:val="24"/>
                <w:szCs w:val="24"/>
              </w:rPr>
            </w:pPr>
            <w:r>
              <w:rPr>
                <w:snapToGrid w:val="0"/>
                <w:sz w:val="24"/>
                <w:szCs w:val="24"/>
              </w:rPr>
              <w:t>18</w:t>
            </w:r>
          </w:p>
        </w:tc>
        <w:tc>
          <w:tcPr>
            <w:tcW w:w="5850" w:type="dxa"/>
            <w:noWrap w:val="0"/>
            <w:vAlign w:val="center"/>
          </w:tcPr>
          <w:p w14:paraId="4FE819E6">
            <w:pPr>
              <w:pStyle w:val="269"/>
              <w:spacing w:line="198" w:lineRule="auto"/>
              <w:jc w:val="left"/>
              <w:rPr>
                <w:rFonts w:hint="eastAsia" w:ascii="仿宋" w:hAnsi="仿宋" w:eastAsia="仿宋" w:cs="仿宋"/>
                <w:b w:val="0"/>
                <w:bCs w:val="0"/>
                <w:snapToGrid w:val="0"/>
                <w:color w:val="000000"/>
                <w:sz w:val="24"/>
                <w:szCs w:val="24"/>
              </w:rPr>
            </w:pPr>
            <w:r>
              <w:rPr>
                <w:snapToGrid w:val="0"/>
                <w:spacing w:val="8"/>
                <w:sz w:val="24"/>
                <w:szCs w:val="24"/>
              </w:rPr>
              <w:t>未按时完成维修工作</w:t>
            </w:r>
          </w:p>
        </w:tc>
        <w:tc>
          <w:tcPr>
            <w:tcW w:w="1850" w:type="dxa"/>
            <w:noWrap w:val="0"/>
            <w:vAlign w:val="center"/>
          </w:tcPr>
          <w:p w14:paraId="74B1DFC5">
            <w:pPr>
              <w:pStyle w:val="269"/>
              <w:spacing w:line="175" w:lineRule="auto"/>
              <w:rPr>
                <w:rFonts w:hint="eastAsia" w:ascii="仿宋" w:hAnsi="仿宋" w:eastAsia="仿宋" w:cs="仿宋"/>
                <w:b w:val="0"/>
                <w:bCs w:val="0"/>
                <w:snapToGrid w:val="0"/>
                <w:color w:val="000000"/>
                <w:sz w:val="24"/>
                <w:szCs w:val="24"/>
              </w:rPr>
            </w:pPr>
            <w:r>
              <w:rPr>
                <w:snapToGrid w:val="0"/>
                <w:spacing w:val="8"/>
                <w:sz w:val="24"/>
                <w:szCs w:val="24"/>
              </w:rPr>
              <w:t>每次扣</w:t>
            </w:r>
            <w:r>
              <w:rPr>
                <w:rFonts w:hint="default"/>
                <w:snapToGrid w:val="0"/>
                <w:spacing w:val="8"/>
                <w:sz w:val="24"/>
                <w:szCs w:val="24"/>
              </w:rPr>
              <w:t>1</w:t>
            </w:r>
            <w:r>
              <w:rPr>
                <w:snapToGrid w:val="0"/>
                <w:spacing w:val="8"/>
                <w:sz w:val="24"/>
                <w:szCs w:val="24"/>
              </w:rPr>
              <w:t>分</w:t>
            </w:r>
          </w:p>
        </w:tc>
        <w:tc>
          <w:tcPr>
            <w:tcW w:w="695" w:type="dxa"/>
            <w:noWrap w:val="0"/>
            <w:vAlign w:val="center"/>
          </w:tcPr>
          <w:p w14:paraId="5311E4D9">
            <w:pPr>
              <w:rPr>
                <w:rFonts w:hint="eastAsia" w:ascii="仿宋" w:hAnsi="仿宋" w:eastAsia="仿宋" w:cs="仿宋"/>
                <w:b w:val="0"/>
                <w:bCs w:val="0"/>
                <w:snapToGrid w:val="0"/>
                <w:color w:val="000000"/>
                <w:sz w:val="24"/>
                <w:szCs w:val="24"/>
              </w:rPr>
            </w:pPr>
          </w:p>
        </w:tc>
      </w:tr>
      <w:tr w14:paraId="1AEA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bottom w:val="nil"/>
            </w:tcBorders>
            <w:noWrap w:val="0"/>
            <w:vAlign w:val="center"/>
          </w:tcPr>
          <w:p w14:paraId="1311378F">
            <w:pPr>
              <w:rPr>
                <w:rFonts w:hint="eastAsia" w:ascii="仿宋" w:hAnsi="仿宋" w:eastAsia="仿宋" w:cs="仿宋"/>
                <w:b w:val="0"/>
                <w:bCs w:val="0"/>
                <w:snapToGrid w:val="0"/>
                <w:color w:val="000000"/>
                <w:sz w:val="24"/>
                <w:szCs w:val="24"/>
              </w:rPr>
            </w:pPr>
          </w:p>
        </w:tc>
        <w:tc>
          <w:tcPr>
            <w:tcW w:w="750" w:type="dxa"/>
            <w:noWrap w:val="0"/>
            <w:vAlign w:val="center"/>
          </w:tcPr>
          <w:p w14:paraId="2B929A54">
            <w:pPr>
              <w:pStyle w:val="269"/>
              <w:spacing w:line="173" w:lineRule="auto"/>
              <w:jc w:val="center"/>
              <w:rPr>
                <w:rFonts w:hint="eastAsia" w:ascii="仿宋" w:hAnsi="仿宋" w:eastAsia="仿宋" w:cs="仿宋"/>
                <w:b w:val="0"/>
                <w:bCs w:val="0"/>
                <w:snapToGrid w:val="0"/>
                <w:color w:val="000000"/>
                <w:sz w:val="24"/>
                <w:szCs w:val="24"/>
              </w:rPr>
            </w:pPr>
            <w:r>
              <w:rPr>
                <w:snapToGrid w:val="0"/>
                <w:color w:val="auto"/>
                <w:sz w:val="24"/>
                <w:szCs w:val="24"/>
              </w:rPr>
              <w:t>19</w:t>
            </w:r>
          </w:p>
        </w:tc>
        <w:tc>
          <w:tcPr>
            <w:tcW w:w="5850" w:type="dxa"/>
            <w:noWrap w:val="0"/>
            <w:vAlign w:val="center"/>
          </w:tcPr>
          <w:p w14:paraId="21EFD975">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z w:val="24"/>
                <w:szCs w:val="24"/>
                <w:lang w:eastAsia="zh-CN"/>
              </w:rPr>
              <w:t>因维修原因导致同一部位、同一问题再次报修。</w:t>
            </w:r>
          </w:p>
        </w:tc>
        <w:tc>
          <w:tcPr>
            <w:tcW w:w="1850" w:type="dxa"/>
            <w:noWrap w:val="0"/>
            <w:vAlign w:val="center"/>
          </w:tcPr>
          <w:p w14:paraId="2AF78338">
            <w:pPr>
              <w:pStyle w:val="269"/>
              <w:spacing w:line="173" w:lineRule="auto"/>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95" w:type="dxa"/>
            <w:noWrap w:val="0"/>
            <w:vAlign w:val="center"/>
          </w:tcPr>
          <w:p w14:paraId="2E8176DE">
            <w:pPr>
              <w:rPr>
                <w:rFonts w:hint="eastAsia" w:ascii="仿宋" w:hAnsi="仿宋" w:eastAsia="仿宋" w:cs="仿宋"/>
                <w:b w:val="0"/>
                <w:bCs w:val="0"/>
                <w:snapToGrid w:val="0"/>
                <w:color w:val="000000"/>
                <w:sz w:val="24"/>
                <w:szCs w:val="24"/>
              </w:rPr>
            </w:pPr>
          </w:p>
        </w:tc>
      </w:tr>
      <w:tr w14:paraId="47A00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93" w:type="dxa"/>
            <w:vMerge w:val="continue"/>
            <w:tcBorders>
              <w:top w:val="nil"/>
            </w:tcBorders>
            <w:noWrap w:val="0"/>
            <w:vAlign w:val="center"/>
          </w:tcPr>
          <w:p w14:paraId="597BD4CF">
            <w:pPr>
              <w:rPr>
                <w:rFonts w:hint="eastAsia" w:ascii="仿宋" w:hAnsi="仿宋" w:eastAsia="仿宋" w:cs="仿宋"/>
                <w:b w:val="0"/>
                <w:bCs w:val="0"/>
                <w:snapToGrid w:val="0"/>
                <w:color w:val="000000"/>
                <w:sz w:val="24"/>
                <w:szCs w:val="24"/>
              </w:rPr>
            </w:pPr>
          </w:p>
        </w:tc>
        <w:tc>
          <w:tcPr>
            <w:tcW w:w="750" w:type="dxa"/>
            <w:noWrap w:val="0"/>
            <w:vAlign w:val="center"/>
          </w:tcPr>
          <w:p w14:paraId="4C44CF4D">
            <w:pPr>
              <w:pStyle w:val="269"/>
              <w:spacing w:line="175" w:lineRule="auto"/>
              <w:jc w:val="center"/>
              <w:rPr>
                <w:rFonts w:hint="eastAsia" w:ascii="仿宋" w:hAnsi="仿宋" w:eastAsia="仿宋" w:cs="仿宋"/>
                <w:b w:val="0"/>
                <w:bCs w:val="0"/>
                <w:snapToGrid w:val="0"/>
                <w:color w:val="000000"/>
                <w:sz w:val="24"/>
                <w:szCs w:val="24"/>
              </w:rPr>
            </w:pPr>
            <w:r>
              <w:rPr>
                <w:snapToGrid w:val="0"/>
                <w:color w:val="auto"/>
                <w:spacing w:val="-13"/>
                <w:sz w:val="24"/>
                <w:szCs w:val="24"/>
              </w:rPr>
              <w:t>20</w:t>
            </w:r>
          </w:p>
        </w:tc>
        <w:tc>
          <w:tcPr>
            <w:tcW w:w="5850" w:type="dxa"/>
            <w:noWrap w:val="0"/>
            <w:vAlign w:val="center"/>
          </w:tcPr>
          <w:p w14:paraId="6E186AF0">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z w:val="24"/>
                <w:szCs w:val="24"/>
                <w:lang w:eastAsia="zh-CN"/>
              </w:rPr>
              <w:t>仅处理表面问题，如只补漏点不查管路，导致短期内出现关联问题。</w:t>
            </w:r>
          </w:p>
        </w:tc>
        <w:tc>
          <w:tcPr>
            <w:tcW w:w="1850" w:type="dxa"/>
            <w:noWrap w:val="0"/>
            <w:vAlign w:val="center"/>
          </w:tcPr>
          <w:p w14:paraId="5A8923FB">
            <w:pPr>
              <w:pStyle w:val="269"/>
              <w:spacing w:line="175" w:lineRule="auto"/>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95" w:type="dxa"/>
            <w:noWrap w:val="0"/>
            <w:vAlign w:val="center"/>
          </w:tcPr>
          <w:p w14:paraId="7C4683E3">
            <w:pPr>
              <w:rPr>
                <w:rFonts w:hint="eastAsia" w:ascii="仿宋" w:hAnsi="仿宋" w:eastAsia="仿宋" w:cs="仿宋"/>
                <w:b w:val="0"/>
                <w:bCs w:val="0"/>
                <w:snapToGrid w:val="0"/>
                <w:color w:val="000000"/>
                <w:sz w:val="24"/>
                <w:szCs w:val="24"/>
              </w:rPr>
            </w:pPr>
          </w:p>
        </w:tc>
      </w:tr>
    </w:tbl>
    <w:p w14:paraId="503AE8D1">
      <w:pPr>
        <w:pageBreakBefore w:val="0"/>
        <w:kinsoku/>
        <w:wordWrap/>
        <w:overflowPunct/>
        <w:topLinePunct w:val="0"/>
        <w:bidi w:val="0"/>
        <w:ind w:left="0" w:leftChars="0" w:right="0"/>
        <w:jc w:val="both"/>
        <w:rPr>
          <w:rFonts w:hint="eastAsia" w:ascii="仿宋" w:hAnsi="仿宋" w:eastAsia="仿宋" w:cs="仿宋"/>
          <w:b w:val="0"/>
          <w:bCs w:val="0"/>
          <w:sz w:val="28"/>
          <w:szCs w:val="28"/>
        </w:rPr>
      </w:pPr>
    </w:p>
    <w:p w14:paraId="58ADDB0D">
      <w:pPr>
        <w:pageBreakBefore w:val="0"/>
        <w:kinsoku/>
        <w:wordWrap/>
        <w:overflowPunct/>
        <w:topLinePunct w:val="0"/>
        <w:bidi w:val="0"/>
        <w:ind w:left="0" w:leftChars="0" w:right="0"/>
        <w:jc w:val="both"/>
        <w:rPr>
          <w:rFonts w:hint="eastAsia" w:ascii="仿宋" w:hAnsi="仿宋" w:eastAsia="仿宋" w:cs="仿宋"/>
          <w:sz w:val="28"/>
          <w:szCs w:val="28"/>
        </w:rPr>
        <w:sectPr>
          <w:footerReference r:id="rId14" w:type="default"/>
          <w:pgSz w:w="11900" w:h="16840"/>
          <w:pgMar w:top="1431" w:right="1434" w:bottom="1432" w:left="1432" w:header="0" w:footer="1214" w:gutter="0"/>
          <w:pgBorders>
            <w:top w:val="none" w:sz="0" w:space="0"/>
            <w:left w:val="none" w:sz="0" w:space="0"/>
            <w:bottom w:val="none" w:sz="0" w:space="0"/>
            <w:right w:val="none" w:sz="0" w:space="0"/>
          </w:pgBorders>
          <w:pgNumType w:fmt="decimal"/>
          <w:cols w:space="720" w:num="1"/>
        </w:sectPr>
      </w:pPr>
    </w:p>
    <w:tbl>
      <w:tblPr>
        <w:tblStyle w:val="241"/>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764"/>
        <w:gridCol w:w="5864"/>
        <w:gridCol w:w="1857"/>
        <w:gridCol w:w="681"/>
      </w:tblGrid>
      <w:tr w14:paraId="3A07A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restart"/>
            <w:tcBorders>
              <w:bottom w:val="nil"/>
            </w:tcBorders>
            <w:noWrap w:val="0"/>
            <w:vAlign w:val="center"/>
          </w:tcPr>
          <w:p w14:paraId="28654E9D">
            <w:pPr>
              <w:jc w:val="center"/>
              <w:rPr>
                <w:rFonts w:hint="eastAsia" w:ascii="仿宋" w:hAnsi="仿宋" w:eastAsia="仿宋" w:cs="仿宋"/>
                <w:b w:val="0"/>
                <w:bCs w:val="0"/>
                <w:snapToGrid w:val="0"/>
                <w:color w:val="000000"/>
                <w:sz w:val="24"/>
                <w:szCs w:val="24"/>
              </w:rPr>
            </w:pPr>
          </w:p>
        </w:tc>
        <w:tc>
          <w:tcPr>
            <w:tcW w:w="764" w:type="dxa"/>
            <w:noWrap w:val="0"/>
            <w:vAlign w:val="center"/>
          </w:tcPr>
          <w:p w14:paraId="582C0E35">
            <w:pPr>
              <w:pStyle w:val="269"/>
              <w:spacing w:line="176" w:lineRule="auto"/>
              <w:jc w:val="center"/>
              <w:rPr>
                <w:rFonts w:hint="eastAsia" w:ascii="仿宋" w:hAnsi="仿宋" w:eastAsia="仿宋" w:cs="仿宋"/>
                <w:b w:val="0"/>
                <w:bCs w:val="0"/>
                <w:snapToGrid w:val="0"/>
                <w:color w:val="000000"/>
                <w:sz w:val="24"/>
                <w:szCs w:val="24"/>
              </w:rPr>
            </w:pPr>
            <w:r>
              <w:rPr>
                <w:snapToGrid w:val="0"/>
                <w:color w:val="auto"/>
                <w:sz w:val="24"/>
                <w:szCs w:val="24"/>
              </w:rPr>
              <w:t>21</w:t>
            </w:r>
          </w:p>
        </w:tc>
        <w:tc>
          <w:tcPr>
            <w:tcW w:w="5864" w:type="dxa"/>
            <w:noWrap w:val="0"/>
            <w:vAlign w:val="center"/>
          </w:tcPr>
          <w:p w14:paraId="6627B3B6">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z w:val="24"/>
                <w:szCs w:val="24"/>
                <w:lang w:eastAsia="zh-CN"/>
              </w:rPr>
              <w:t>维修粗糙，如墙面补丁色差大、接缝不齐、油漆挂流等。</w:t>
            </w:r>
          </w:p>
        </w:tc>
        <w:tc>
          <w:tcPr>
            <w:tcW w:w="1857" w:type="dxa"/>
            <w:noWrap w:val="0"/>
            <w:vAlign w:val="center"/>
          </w:tcPr>
          <w:p w14:paraId="14F7E82E">
            <w:pPr>
              <w:pStyle w:val="269"/>
              <w:spacing w:line="176" w:lineRule="auto"/>
              <w:jc w:val="left"/>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81" w:type="dxa"/>
            <w:noWrap w:val="0"/>
            <w:vAlign w:val="top"/>
          </w:tcPr>
          <w:p w14:paraId="6E7055DF">
            <w:pPr>
              <w:pStyle w:val="269"/>
              <w:spacing w:line="176" w:lineRule="auto"/>
              <w:jc w:val="center"/>
              <w:rPr>
                <w:rFonts w:hint="eastAsia" w:ascii="仿宋" w:hAnsi="仿宋" w:eastAsia="仿宋" w:cs="仿宋"/>
                <w:b w:val="0"/>
                <w:bCs w:val="0"/>
                <w:snapToGrid w:val="0"/>
                <w:color w:val="000000"/>
                <w:spacing w:val="8"/>
                <w:sz w:val="24"/>
                <w:szCs w:val="24"/>
              </w:rPr>
            </w:pPr>
          </w:p>
        </w:tc>
      </w:tr>
      <w:tr w14:paraId="480C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4DF32454">
            <w:pPr>
              <w:jc w:val="center"/>
              <w:rPr>
                <w:rFonts w:hint="eastAsia" w:ascii="仿宋" w:hAnsi="仿宋" w:eastAsia="仿宋" w:cs="仿宋"/>
                <w:b w:val="0"/>
                <w:bCs w:val="0"/>
                <w:snapToGrid w:val="0"/>
                <w:color w:val="000000"/>
                <w:sz w:val="24"/>
                <w:szCs w:val="24"/>
              </w:rPr>
            </w:pPr>
          </w:p>
        </w:tc>
        <w:tc>
          <w:tcPr>
            <w:tcW w:w="764" w:type="dxa"/>
            <w:noWrap w:val="0"/>
            <w:vAlign w:val="center"/>
          </w:tcPr>
          <w:p w14:paraId="2C92B436">
            <w:pPr>
              <w:pStyle w:val="269"/>
              <w:spacing w:line="176" w:lineRule="auto"/>
              <w:jc w:val="center"/>
              <w:rPr>
                <w:rFonts w:hint="eastAsia" w:ascii="仿宋" w:hAnsi="仿宋" w:eastAsia="仿宋" w:cs="仿宋"/>
                <w:b w:val="0"/>
                <w:bCs w:val="0"/>
                <w:snapToGrid w:val="0"/>
                <w:color w:val="000000"/>
                <w:sz w:val="24"/>
                <w:szCs w:val="24"/>
              </w:rPr>
            </w:pPr>
            <w:r>
              <w:rPr>
                <w:snapToGrid w:val="0"/>
                <w:color w:val="auto"/>
                <w:spacing w:val="-13"/>
                <w:sz w:val="24"/>
                <w:szCs w:val="24"/>
              </w:rPr>
              <w:t>22</w:t>
            </w:r>
          </w:p>
        </w:tc>
        <w:tc>
          <w:tcPr>
            <w:tcW w:w="5864" w:type="dxa"/>
            <w:noWrap w:val="0"/>
            <w:vAlign w:val="center"/>
          </w:tcPr>
          <w:p w14:paraId="2A5106A4">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z w:val="24"/>
                <w:szCs w:val="24"/>
                <w:lang w:eastAsia="zh-CN"/>
              </w:rPr>
              <w:t>维修后存在功能缺陷，如设备运行不正常、门窗开关不畅等。</w:t>
            </w:r>
          </w:p>
        </w:tc>
        <w:tc>
          <w:tcPr>
            <w:tcW w:w="1857" w:type="dxa"/>
            <w:noWrap w:val="0"/>
            <w:vAlign w:val="center"/>
          </w:tcPr>
          <w:p w14:paraId="3A600409">
            <w:pPr>
              <w:pStyle w:val="269"/>
              <w:spacing w:line="176" w:lineRule="auto"/>
              <w:jc w:val="left"/>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81" w:type="dxa"/>
            <w:noWrap w:val="0"/>
            <w:vAlign w:val="top"/>
          </w:tcPr>
          <w:p w14:paraId="6734C0AB">
            <w:pPr>
              <w:pStyle w:val="269"/>
              <w:spacing w:line="176" w:lineRule="auto"/>
              <w:jc w:val="center"/>
              <w:rPr>
                <w:rFonts w:hint="eastAsia" w:ascii="仿宋" w:hAnsi="仿宋" w:eastAsia="仿宋" w:cs="仿宋"/>
                <w:b w:val="0"/>
                <w:bCs w:val="0"/>
                <w:snapToGrid w:val="0"/>
                <w:color w:val="000000"/>
                <w:spacing w:val="8"/>
                <w:sz w:val="24"/>
                <w:szCs w:val="24"/>
              </w:rPr>
            </w:pPr>
          </w:p>
        </w:tc>
      </w:tr>
      <w:tr w14:paraId="4D76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24616394">
            <w:pPr>
              <w:jc w:val="center"/>
              <w:rPr>
                <w:rFonts w:hint="eastAsia" w:ascii="仿宋" w:hAnsi="仿宋" w:eastAsia="仿宋" w:cs="仿宋"/>
                <w:b w:val="0"/>
                <w:bCs w:val="0"/>
                <w:snapToGrid w:val="0"/>
                <w:color w:val="000000"/>
                <w:sz w:val="24"/>
                <w:szCs w:val="24"/>
              </w:rPr>
            </w:pPr>
          </w:p>
        </w:tc>
        <w:tc>
          <w:tcPr>
            <w:tcW w:w="764" w:type="dxa"/>
            <w:noWrap w:val="0"/>
            <w:vAlign w:val="center"/>
          </w:tcPr>
          <w:p w14:paraId="70F78B48">
            <w:pPr>
              <w:pStyle w:val="269"/>
              <w:spacing w:line="176" w:lineRule="auto"/>
              <w:jc w:val="center"/>
              <w:rPr>
                <w:rFonts w:hint="eastAsia" w:ascii="仿宋" w:hAnsi="仿宋" w:eastAsia="仿宋" w:cs="仿宋"/>
                <w:b w:val="0"/>
                <w:bCs w:val="0"/>
                <w:snapToGrid w:val="0"/>
                <w:color w:val="000000"/>
                <w:sz w:val="24"/>
                <w:szCs w:val="24"/>
              </w:rPr>
            </w:pPr>
            <w:r>
              <w:rPr>
                <w:snapToGrid w:val="0"/>
                <w:color w:val="auto"/>
                <w:spacing w:val="-13"/>
                <w:sz w:val="24"/>
                <w:szCs w:val="24"/>
              </w:rPr>
              <w:t>23</w:t>
            </w:r>
          </w:p>
        </w:tc>
        <w:tc>
          <w:tcPr>
            <w:tcW w:w="5864" w:type="dxa"/>
            <w:noWrap w:val="0"/>
            <w:vAlign w:val="center"/>
          </w:tcPr>
          <w:p w14:paraId="0A8CE255">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pacing w:val="7"/>
                <w:sz w:val="24"/>
                <w:szCs w:val="24"/>
                <w:lang w:eastAsia="zh-CN"/>
              </w:rPr>
              <w:t>维修完成后未清理垃圾、废料、工具，未恢复现场原貌。</w:t>
            </w:r>
          </w:p>
        </w:tc>
        <w:tc>
          <w:tcPr>
            <w:tcW w:w="1857" w:type="dxa"/>
            <w:noWrap w:val="0"/>
            <w:vAlign w:val="center"/>
          </w:tcPr>
          <w:p w14:paraId="70D05C97">
            <w:pPr>
              <w:pStyle w:val="269"/>
              <w:spacing w:line="176" w:lineRule="auto"/>
              <w:jc w:val="left"/>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81" w:type="dxa"/>
            <w:noWrap w:val="0"/>
            <w:vAlign w:val="top"/>
          </w:tcPr>
          <w:p w14:paraId="386898EB">
            <w:pPr>
              <w:pStyle w:val="269"/>
              <w:spacing w:line="176" w:lineRule="auto"/>
              <w:jc w:val="center"/>
              <w:rPr>
                <w:rFonts w:hint="eastAsia" w:ascii="仿宋" w:hAnsi="仿宋" w:eastAsia="仿宋" w:cs="仿宋"/>
                <w:b w:val="0"/>
                <w:bCs w:val="0"/>
                <w:snapToGrid w:val="0"/>
                <w:color w:val="000000"/>
                <w:spacing w:val="8"/>
                <w:sz w:val="24"/>
                <w:szCs w:val="24"/>
              </w:rPr>
            </w:pPr>
          </w:p>
        </w:tc>
      </w:tr>
      <w:tr w14:paraId="48A5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67877E19">
            <w:pPr>
              <w:jc w:val="center"/>
              <w:rPr>
                <w:rFonts w:hint="eastAsia" w:ascii="仿宋" w:hAnsi="仿宋" w:eastAsia="仿宋" w:cs="仿宋"/>
                <w:b w:val="0"/>
                <w:bCs w:val="0"/>
                <w:snapToGrid w:val="0"/>
                <w:color w:val="000000"/>
                <w:sz w:val="24"/>
                <w:szCs w:val="24"/>
              </w:rPr>
            </w:pPr>
          </w:p>
        </w:tc>
        <w:tc>
          <w:tcPr>
            <w:tcW w:w="764" w:type="dxa"/>
            <w:noWrap w:val="0"/>
            <w:vAlign w:val="center"/>
          </w:tcPr>
          <w:p w14:paraId="78A4FAEE">
            <w:pPr>
              <w:pStyle w:val="269"/>
              <w:spacing w:line="176" w:lineRule="auto"/>
              <w:jc w:val="center"/>
              <w:rPr>
                <w:rFonts w:hint="eastAsia" w:ascii="仿宋" w:hAnsi="仿宋" w:eastAsia="仿宋" w:cs="仿宋"/>
                <w:b w:val="0"/>
                <w:bCs w:val="0"/>
                <w:snapToGrid w:val="0"/>
                <w:color w:val="000000"/>
                <w:sz w:val="24"/>
                <w:szCs w:val="24"/>
              </w:rPr>
            </w:pPr>
            <w:r>
              <w:rPr>
                <w:snapToGrid w:val="0"/>
                <w:color w:val="auto"/>
                <w:spacing w:val="-13"/>
                <w:sz w:val="24"/>
                <w:szCs w:val="24"/>
                <w:lang w:eastAsia="zh-CN"/>
              </w:rPr>
              <w:t>2</w:t>
            </w:r>
            <w:r>
              <w:rPr>
                <w:rFonts w:hint="default"/>
                <w:snapToGrid w:val="0"/>
                <w:color w:val="auto"/>
                <w:spacing w:val="-13"/>
                <w:sz w:val="24"/>
                <w:szCs w:val="24"/>
                <w:lang w:eastAsia="zh-CN"/>
              </w:rPr>
              <w:t>4</w:t>
            </w:r>
          </w:p>
        </w:tc>
        <w:tc>
          <w:tcPr>
            <w:tcW w:w="5864" w:type="dxa"/>
            <w:noWrap w:val="0"/>
            <w:vAlign w:val="center"/>
          </w:tcPr>
          <w:p w14:paraId="2933DFC0">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pacing w:val="7"/>
                <w:sz w:val="24"/>
                <w:szCs w:val="24"/>
                <w:lang w:eastAsia="zh-CN"/>
              </w:rPr>
              <w:t>维修后剩余材料未归还仓库。</w:t>
            </w:r>
          </w:p>
        </w:tc>
        <w:tc>
          <w:tcPr>
            <w:tcW w:w="1857" w:type="dxa"/>
            <w:noWrap w:val="0"/>
            <w:vAlign w:val="center"/>
          </w:tcPr>
          <w:p w14:paraId="593983B3">
            <w:pPr>
              <w:pStyle w:val="269"/>
              <w:spacing w:line="176" w:lineRule="auto"/>
              <w:jc w:val="left"/>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81" w:type="dxa"/>
            <w:noWrap w:val="0"/>
            <w:vAlign w:val="top"/>
          </w:tcPr>
          <w:p w14:paraId="267E3060">
            <w:pPr>
              <w:pStyle w:val="269"/>
              <w:spacing w:line="176" w:lineRule="auto"/>
              <w:jc w:val="center"/>
              <w:rPr>
                <w:rFonts w:hint="eastAsia" w:ascii="仿宋" w:hAnsi="仿宋" w:eastAsia="仿宋" w:cs="仿宋"/>
                <w:b w:val="0"/>
                <w:bCs w:val="0"/>
                <w:snapToGrid w:val="0"/>
                <w:color w:val="000000"/>
                <w:spacing w:val="8"/>
                <w:sz w:val="24"/>
                <w:szCs w:val="24"/>
              </w:rPr>
            </w:pPr>
          </w:p>
        </w:tc>
      </w:tr>
      <w:tr w14:paraId="251BD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2D36108C">
            <w:pPr>
              <w:jc w:val="center"/>
              <w:rPr>
                <w:rFonts w:hint="eastAsia" w:ascii="仿宋" w:hAnsi="仿宋" w:eastAsia="仿宋" w:cs="仿宋"/>
                <w:b w:val="0"/>
                <w:bCs w:val="0"/>
                <w:snapToGrid w:val="0"/>
                <w:color w:val="000000"/>
                <w:sz w:val="24"/>
                <w:szCs w:val="24"/>
              </w:rPr>
            </w:pPr>
          </w:p>
        </w:tc>
        <w:tc>
          <w:tcPr>
            <w:tcW w:w="764" w:type="dxa"/>
            <w:noWrap w:val="0"/>
            <w:vAlign w:val="center"/>
          </w:tcPr>
          <w:p w14:paraId="3227A37A">
            <w:pPr>
              <w:pStyle w:val="269"/>
              <w:spacing w:line="176" w:lineRule="auto"/>
              <w:jc w:val="center"/>
              <w:rPr>
                <w:rFonts w:hint="eastAsia" w:ascii="仿宋" w:hAnsi="仿宋" w:eastAsia="仿宋" w:cs="仿宋"/>
                <w:b w:val="0"/>
                <w:bCs w:val="0"/>
                <w:snapToGrid w:val="0"/>
                <w:color w:val="000000"/>
                <w:sz w:val="24"/>
                <w:szCs w:val="24"/>
              </w:rPr>
            </w:pPr>
            <w:r>
              <w:rPr>
                <w:snapToGrid w:val="0"/>
                <w:color w:val="auto"/>
                <w:spacing w:val="-13"/>
                <w:sz w:val="24"/>
                <w:szCs w:val="24"/>
                <w:lang w:eastAsia="zh-CN"/>
              </w:rPr>
              <w:t>2</w:t>
            </w:r>
            <w:r>
              <w:rPr>
                <w:rFonts w:hint="default"/>
                <w:snapToGrid w:val="0"/>
                <w:color w:val="auto"/>
                <w:spacing w:val="-13"/>
                <w:sz w:val="24"/>
                <w:szCs w:val="24"/>
                <w:lang w:eastAsia="zh-CN"/>
              </w:rPr>
              <w:t>5</w:t>
            </w:r>
          </w:p>
        </w:tc>
        <w:tc>
          <w:tcPr>
            <w:tcW w:w="5864" w:type="dxa"/>
            <w:noWrap w:val="0"/>
            <w:vAlign w:val="center"/>
          </w:tcPr>
          <w:p w14:paraId="6C775076">
            <w:pPr>
              <w:pStyle w:val="269"/>
              <w:spacing w:line="199" w:lineRule="auto"/>
              <w:jc w:val="left"/>
              <w:rPr>
                <w:rFonts w:hint="eastAsia" w:ascii="仿宋" w:hAnsi="仿宋" w:eastAsia="仿宋" w:cs="仿宋"/>
                <w:b w:val="0"/>
                <w:bCs w:val="0"/>
                <w:snapToGrid w:val="0"/>
                <w:color w:val="000000"/>
                <w:sz w:val="24"/>
                <w:szCs w:val="24"/>
              </w:rPr>
            </w:pPr>
            <w:r>
              <w:rPr>
                <w:snapToGrid w:val="0"/>
                <w:color w:val="auto"/>
                <w:spacing w:val="7"/>
                <w:sz w:val="24"/>
                <w:szCs w:val="24"/>
                <w:lang w:eastAsia="zh-CN"/>
              </w:rPr>
              <w:t>维修现场材料、工具随意堆放，影响公共区域通行。</w:t>
            </w:r>
          </w:p>
        </w:tc>
        <w:tc>
          <w:tcPr>
            <w:tcW w:w="1857" w:type="dxa"/>
            <w:noWrap w:val="0"/>
            <w:vAlign w:val="center"/>
          </w:tcPr>
          <w:p w14:paraId="586C8AB3">
            <w:pPr>
              <w:pStyle w:val="269"/>
              <w:spacing w:line="176" w:lineRule="auto"/>
              <w:jc w:val="left"/>
              <w:rPr>
                <w:rFonts w:hint="eastAsia" w:ascii="仿宋" w:hAnsi="仿宋" w:eastAsia="仿宋" w:cs="仿宋"/>
                <w:b w:val="0"/>
                <w:bCs w:val="0"/>
                <w:snapToGrid w:val="0"/>
                <w:color w:val="000000"/>
                <w:sz w:val="24"/>
                <w:szCs w:val="24"/>
              </w:rPr>
            </w:pPr>
            <w:r>
              <w:rPr>
                <w:snapToGrid w:val="0"/>
                <w:color w:val="auto"/>
                <w:spacing w:val="8"/>
                <w:sz w:val="24"/>
                <w:szCs w:val="24"/>
              </w:rPr>
              <w:t>每次扣</w:t>
            </w:r>
            <w:r>
              <w:rPr>
                <w:rFonts w:hint="default"/>
                <w:snapToGrid w:val="0"/>
                <w:color w:val="auto"/>
                <w:spacing w:val="8"/>
                <w:sz w:val="24"/>
                <w:szCs w:val="24"/>
              </w:rPr>
              <w:t>1</w:t>
            </w:r>
            <w:r>
              <w:rPr>
                <w:snapToGrid w:val="0"/>
                <w:color w:val="auto"/>
                <w:spacing w:val="8"/>
                <w:sz w:val="24"/>
                <w:szCs w:val="24"/>
              </w:rPr>
              <w:t>分</w:t>
            </w:r>
          </w:p>
        </w:tc>
        <w:tc>
          <w:tcPr>
            <w:tcW w:w="681" w:type="dxa"/>
            <w:noWrap w:val="0"/>
            <w:vAlign w:val="top"/>
          </w:tcPr>
          <w:p w14:paraId="089EE557">
            <w:pPr>
              <w:pStyle w:val="269"/>
              <w:spacing w:line="176" w:lineRule="auto"/>
              <w:jc w:val="center"/>
              <w:rPr>
                <w:rFonts w:hint="eastAsia" w:ascii="仿宋" w:hAnsi="仿宋" w:eastAsia="仿宋" w:cs="仿宋"/>
                <w:b w:val="0"/>
                <w:bCs w:val="0"/>
                <w:snapToGrid w:val="0"/>
                <w:color w:val="000000"/>
                <w:spacing w:val="8"/>
                <w:sz w:val="24"/>
                <w:szCs w:val="24"/>
              </w:rPr>
            </w:pPr>
          </w:p>
        </w:tc>
      </w:tr>
      <w:tr w14:paraId="181E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2A66BB2C">
            <w:pPr>
              <w:jc w:val="center"/>
              <w:rPr>
                <w:rFonts w:hint="eastAsia" w:ascii="仿宋" w:hAnsi="仿宋" w:eastAsia="仿宋" w:cs="仿宋"/>
                <w:b w:val="0"/>
                <w:bCs w:val="0"/>
                <w:snapToGrid w:val="0"/>
                <w:color w:val="000000"/>
                <w:sz w:val="24"/>
                <w:szCs w:val="24"/>
              </w:rPr>
            </w:pPr>
          </w:p>
        </w:tc>
        <w:tc>
          <w:tcPr>
            <w:tcW w:w="764" w:type="dxa"/>
            <w:noWrap w:val="0"/>
            <w:vAlign w:val="center"/>
          </w:tcPr>
          <w:p w14:paraId="220F9919">
            <w:pPr>
              <w:pStyle w:val="269"/>
              <w:spacing w:line="177" w:lineRule="auto"/>
              <w:jc w:val="center"/>
              <w:rPr>
                <w:rFonts w:hint="eastAsia" w:ascii="仿宋" w:hAnsi="仿宋" w:eastAsia="仿宋" w:cs="仿宋"/>
                <w:b w:val="0"/>
                <w:bCs w:val="0"/>
                <w:snapToGrid w:val="0"/>
                <w:color w:val="000000"/>
                <w:sz w:val="24"/>
                <w:szCs w:val="24"/>
              </w:rPr>
            </w:pPr>
            <w:r>
              <w:rPr>
                <w:rFonts w:hint="default"/>
                <w:snapToGrid w:val="0"/>
                <w:spacing w:val="-13"/>
                <w:sz w:val="24"/>
                <w:szCs w:val="24"/>
              </w:rPr>
              <w:t>26</w:t>
            </w:r>
          </w:p>
        </w:tc>
        <w:tc>
          <w:tcPr>
            <w:tcW w:w="5864" w:type="dxa"/>
            <w:noWrap w:val="0"/>
            <w:vAlign w:val="center"/>
          </w:tcPr>
          <w:p w14:paraId="537C041C">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未及时发现安全隐患</w:t>
            </w:r>
          </w:p>
        </w:tc>
        <w:tc>
          <w:tcPr>
            <w:tcW w:w="1857" w:type="dxa"/>
            <w:noWrap w:val="0"/>
            <w:vAlign w:val="center"/>
          </w:tcPr>
          <w:p w14:paraId="2CDA5A07">
            <w:pPr>
              <w:pStyle w:val="269"/>
              <w:spacing w:line="177" w:lineRule="auto"/>
              <w:jc w:val="left"/>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81" w:type="dxa"/>
            <w:noWrap w:val="0"/>
            <w:vAlign w:val="top"/>
          </w:tcPr>
          <w:p w14:paraId="7D13FA14">
            <w:pPr>
              <w:pStyle w:val="269"/>
              <w:spacing w:line="177" w:lineRule="auto"/>
              <w:jc w:val="center"/>
              <w:rPr>
                <w:rFonts w:hint="eastAsia" w:ascii="仿宋" w:hAnsi="仿宋" w:eastAsia="仿宋" w:cs="仿宋"/>
                <w:b w:val="0"/>
                <w:bCs w:val="0"/>
                <w:snapToGrid w:val="0"/>
                <w:color w:val="000000"/>
                <w:spacing w:val="8"/>
                <w:sz w:val="24"/>
                <w:szCs w:val="24"/>
              </w:rPr>
            </w:pPr>
          </w:p>
        </w:tc>
      </w:tr>
      <w:tr w14:paraId="7A6A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tcBorders>
            <w:noWrap w:val="0"/>
            <w:vAlign w:val="center"/>
          </w:tcPr>
          <w:p w14:paraId="24313262">
            <w:pPr>
              <w:jc w:val="center"/>
              <w:rPr>
                <w:rFonts w:hint="eastAsia" w:ascii="仿宋" w:hAnsi="仿宋" w:eastAsia="仿宋" w:cs="仿宋"/>
                <w:b w:val="0"/>
                <w:bCs w:val="0"/>
                <w:snapToGrid w:val="0"/>
                <w:color w:val="000000"/>
                <w:sz w:val="24"/>
                <w:szCs w:val="24"/>
              </w:rPr>
            </w:pPr>
          </w:p>
        </w:tc>
        <w:tc>
          <w:tcPr>
            <w:tcW w:w="764" w:type="dxa"/>
            <w:noWrap w:val="0"/>
            <w:vAlign w:val="center"/>
          </w:tcPr>
          <w:p w14:paraId="74637F36">
            <w:pPr>
              <w:pStyle w:val="269"/>
              <w:spacing w:line="212" w:lineRule="auto"/>
              <w:jc w:val="center"/>
              <w:rPr>
                <w:rFonts w:hint="eastAsia" w:ascii="仿宋" w:hAnsi="仿宋" w:eastAsia="仿宋" w:cs="仿宋"/>
                <w:b w:val="0"/>
                <w:bCs w:val="0"/>
                <w:snapToGrid w:val="0"/>
                <w:color w:val="000000"/>
                <w:sz w:val="24"/>
                <w:szCs w:val="24"/>
              </w:rPr>
            </w:pPr>
            <w:r>
              <w:rPr>
                <w:snapToGrid w:val="0"/>
                <w:spacing w:val="-13"/>
                <w:sz w:val="24"/>
                <w:szCs w:val="24"/>
              </w:rPr>
              <w:t>2</w:t>
            </w:r>
            <w:r>
              <w:rPr>
                <w:rFonts w:hint="default"/>
                <w:snapToGrid w:val="0"/>
                <w:spacing w:val="-13"/>
                <w:sz w:val="24"/>
                <w:szCs w:val="24"/>
              </w:rPr>
              <w:t>7</w:t>
            </w:r>
          </w:p>
        </w:tc>
        <w:tc>
          <w:tcPr>
            <w:tcW w:w="5864" w:type="dxa"/>
            <w:noWrap w:val="0"/>
            <w:vAlign w:val="center"/>
          </w:tcPr>
          <w:p w14:paraId="13DCCD3B">
            <w:pPr>
              <w:pStyle w:val="269"/>
              <w:spacing w:line="191" w:lineRule="auto"/>
              <w:jc w:val="left"/>
              <w:rPr>
                <w:rFonts w:hint="eastAsia" w:ascii="仿宋" w:hAnsi="仿宋" w:eastAsia="仿宋" w:cs="仿宋"/>
                <w:b w:val="0"/>
                <w:bCs w:val="0"/>
                <w:snapToGrid w:val="0"/>
                <w:color w:val="000000"/>
                <w:sz w:val="24"/>
                <w:szCs w:val="24"/>
              </w:rPr>
            </w:pPr>
            <w:r>
              <w:rPr>
                <w:snapToGrid w:val="0"/>
                <w:spacing w:val="2"/>
                <w:sz w:val="24"/>
                <w:szCs w:val="24"/>
                <w:lang w:eastAsia="zh-CN"/>
              </w:rPr>
              <w:t>未及时发现安全隐患，由此引发安全事故，</w:t>
            </w:r>
            <w:r>
              <w:rPr>
                <w:snapToGrid w:val="0"/>
                <w:spacing w:val="8"/>
                <w:sz w:val="24"/>
                <w:szCs w:val="24"/>
                <w:lang w:eastAsia="zh-CN"/>
              </w:rPr>
              <w:t>并承担事故的相关责任和全部损失</w:t>
            </w:r>
          </w:p>
        </w:tc>
        <w:tc>
          <w:tcPr>
            <w:tcW w:w="1857" w:type="dxa"/>
            <w:noWrap w:val="0"/>
            <w:vAlign w:val="center"/>
          </w:tcPr>
          <w:p w14:paraId="5BAF396B">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每次扣5分</w:t>
            </w:r>
          </w:p>
        </w:tc>
        <w:tc>
          <w:tcPr>
            <w:tcW w:w="681" w:type="dxa"/>
            <w:noWrap w:val="0"/>
            <w:vAlign w:val="top"/>
          </w:tcPr>
          <w:p w14:paraId="454DEE53">
            <w:pPr>
              <w:pStyle w:val="269"/>
              <w:spacing w:line="200" w:lineRule="auto"/>
              <w:jc w:val="center"/>
              <w:rPr>
                <w:rFonts w:hint="eastAsia" w:ascii="仿宋" w:hAnsi="仿宋" w:eastAsia="仿宋" w:cs="仿宋"/>
                <w:b w:val="0"/>
                <w:bCs w:val="0"/>
                <w:snapToGrid w:val="0"/>
                <w:color w:val="000000"/>
                <w:spacing w:val="8"/>
                <w:sz w:val="24"/>
                <w:szCs w:val="24"/>
              </w:rPr>
            </w:pPr>
          </w:p>
        </w:tc>
      </w:tr>
      <w:tr w14:paraId="1C860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bottom w:val="nil"/>
            </w:tcBorders>
            <w:noWrap w:val="0"/>
            <w:vAlign w:val="center"/>
          </w:tcPr>
          <w:p w14:paraId="05BFF7E2">
            <w:pPr>
              <w:jc w:val="center"/>
              <w:rPr>
                <w:rFonts w:hint="eastAsia" w:ascii="仿宋" w:hAnsi="仿宋" w:eastAsia="仿宋" w:cs="仿宋"/>
                <w:b w:val="0"/>
                <w:bCs w:val="0"/>
                <w:snapToGrid w:val="0"/>
                <w:color w:val="000000"/>
                <w:sz w:val="24"/>
                <w:szCs w:val="24"/>
              </w:rPr>
            </w:pPr>
          </w:p>
        </w:tc>
        <w:tc>
          <w:tcPr>
            <w:tcW w:w="764" w:type="dxa"/>
            <w:noWrap w:val="0"/>
            <w:vAlign w:val="center"/>
          </w:tcPr>
          <w:p w14:paraId="7A961895">
            <w:pPr>
              <w:spacing w:line="357" w:lineRule="auto"/>
              <w:jc w:val="center"/>
              <w:rPr>
                <w:rFonts w:hint="default" w:ascii="仿宋" w:hAnsi="仿宋" w:eastAsia="仿宋" w:cs="仿宋"/>
                <w:snapToGrid w:val="0"/>
                <w:sz w:val="24"/>
                <w:szCs w:val="24"/>
              </w:rPr>
            </w:pPr>
          </w:p>
          <w:p w14:paraId="1CA6B7FD">
            <w:pPr>
              <w:spacing w:line="358" w:lineRule="auto"/>
              <w:jc w:val="center"/>
              <w:rPr>
                <w:rFonts w:hint="default" w:ascii="仿宋" w:hAnsi="仿宋" w:eastAsia="仿宋" w:cs="仿宋"/>
                <w:snapToGrid w:val="0"/>
                <w:sz w:val="24"/>
                <w:szCs w:val="24"/>
              </w:rPr>
            </w:pPr>
          </w:p>
          <w:p w14:paraId="6B713CF9">
            <w:pPr>
              <w:pStyle w:val="269"/>
              <w:spacing w:line="212" w:lineRule="auto"/>
              <w:jc w:val="center"/>
              <w:rPr>
                <w:rFonts w:hint="eastAsia" w:ascii="仿宋" w:hAnsi="仿宋" w:eastAsia="仿宋" w:cs="仿宋"/>
                <w:b w:val="0"/>
                <w:bCs w:val="0"/>
                <w:snapToGrid w:val="0"/>
                <w:color w:val="000000"/>
                <w:sz w:val="24"/>
                <w:szCs w:val="24"/>
              </w:rPr>
            </w:pPr>
            <w:r>
              <w:rPr>
                <w:snapToGrid w:val="0"/>
                <w:spacing w:val="-13"/>
                <w:sz w:val="24"/>
                <w:szCs w:val="24"/>
              </w:rPr>
              <w:t>2</w:t>
            </w:r>
            <w:r>
              <w:rPr>
                <w:rFonts w:hint="default"/>
                <w:snapToGrid w:val="0"/>
                <w:spacing w:val="-13"/>
                <w:sz w:val="24"/>
                <w:szCs w:val="24"/>
              </w:rPr>
              <w:t>8</w:t>
            </w:r>
          </w:p>
        </w:tc>
        <w:tc>
          <w:tcPr>
            <w:tcW w:w="5864" w:type="dxa"/>
            <w:noWrap w:val="0"/>
            <w:vAlign w:val="center"/>
          </w:tcPr>
          <w:p w14:paraId="7ADE2E63">
            <w:pPr>
              <w:pStyle w:val="269"/>
              <w:spacing w:line="211" w:lineRule="auto"/>
              <w:ind w:firstLine="5" w:firstLineChars="0"/>
              <w:jc w:val="left"/>
              <w:rPr>
                <w:rFonts w:hint="eastAsia" w:ascii="仿宋" w:hAnsi="仿宋" w:eastAsia="仿宋" w:cs="仿宋"/>
                <w:b w:val="0"/>
                <w:bCs w:val="0"/>
                <w:snapToGrid w:val="0"/>
                <w:color w:val="000000"/>
                <w:sz w:val="24"/>
                <w:szCs w:val="24"/>
              </w:rPr>
            </w:pPr>
            <w:r>
              <w:rPr>
                <w:snapToGrid w:val="0"/>
                <w:spacing w:val="16"/>
                <w:sz w:val="24"/>
                <w:szCs w:val="24"/>
                <w:lang w:eastAsia="zh-CN"/>
              </w:rPr>
              <w:t>不配合保障服务部工作或以各种理由拒</w:t>
            </w:r>
            <w:r>
              <w:rPr>
                <w:snapToGrid w:val="0"/>
                <w:sz w:val="24"/>
                <w:szCs w:val="24"/>
                <w:lang w:eastAsia="zh-CN"/>
              </w:rPr>
              <w:t>绝、推诿、不能按期完成任务累计3次的，</w:t>
            </w:r>
            <w:r>
              <w:rPr>
                <w:snapToGrid w:val="0"/>
                <w:spacing w:val="5"/>
                <w:sz w:val="24"/>
                <w:szCs w:val="24"/>
                <w:lang w:eastAsia="zh-CN"/>
              </w:rPr>
              <w:t>保障服务部将不再委派物业进行维修，另行安排有资质的第三方进行维修，费用</w:t>
            </w:r>
            <w:r>
              <w:rPr>
                <w:snapToGrid w:val="0"/>
                <w:spacing w:val="7"/>
                <w:sz w:val="24"/>
                <w:szCs w:val="24"/>
                <w:lang w:eastAsia="zh-CN"/>
              </w:rPr>
              <w:t>从物业费中扣除</w:t>
            </w:r>
          </w:p>
        </w:tc>
        <w:tc>
          <w:tcPr>
            <w:tcW w:w="1857" w:type="dxa"/>
            <w:noWrap w:val="0"/>
            <w:vAlign w:val="center"/>
          </w:tcPr>
          <w:p w14:paraId="286A0F0D">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每次扣5分</w:t>
            </w:r>
          </w:p>
        </w:tc>
        <w:tc>
          <w:tcPr>
            <w:tcW w:w="681" w:type="dxa"/>
            <w:noWrap w:val="0"/>
            <w:vAlign w:val="top"/>
          </w:tcPr>
          <w:p w14:paraId="53EBC6E8">
            <w:pPr>
              <w:spacing w:line="357" w:lineRule="auto"/>
              <w:jc w:val="center"/>
              <w:rPr>
                <w:rFonts w:hint="eastAsia" w:ascii="仿宋" w:hAnsi="仿宋" w:eastAsia="仿宋" w:cs="仿宋"/>
                <w:b w:val="0"/>
                <w:bCs w:val="0"/>
                <w:snapToGrid w:val="0"/>
                <w:color w:val="000000"/>
                <w:spacing w:val="8"/>
                <w:sz w:val="24"/>
                <w:szCs w:val="24"/>
              </w:rPr>
            </w:pPr>
          </w:p>
        </w:tc>
      </w:tr>
      <w:tr w14:paraId="496D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1945042A">
            <w:pPr>
              <w:jc w:val="center"/>
              <w:rPr>
                <w:rFonts w:hint="eastAsia" w:ascii="仿宋" w:hAnsi="仿宋" w:eastAsia="仿宋" w:cs="仿宋"/>
                <w:b w:val="0"/>
                <w:bCs w:val="0"/>
                <w:snapToGrid w:val="0"/>
                <w:color w:val="000000"/>
                <w:sz w:val="24"/>
                <w:szCs w:val="24"/>
              </w:rPr>
            </w:pPr>
          </w:p>
        </w:tc>
        <w:tc>
          <w:tcPr>
            <w:tcW w:w="764" w:type="dxa"/>
            <w:noWrap w:val="0"/>
            <w:vAlign w:val="center"/>
          </w:tcPr>
          <w:p w14:paraId="2944385C">
            <w:pPr>
              <w:pStyle w:val="269"/>
              <w:spacing w:line="213" w:lineRule="auto"/>
              <w:jc w:val="center"/>
              <w:rPr>
                <w:rFonts w:hint="eastAsia" w:ascii="仿宋" w:hAnsi="仿宋" w:eastAsia="仿宋" w:cs="仿宋"/>
                <w:b w:val="0"/>
                <w:bCs w:val="0"/>
                <w:snapToGrid w:val="0"/>
                <w:color w:val="000000"/>
                <w:sz w:val="24"/>
                <w:szCs w:val="24"/>
              </w:rPr>
            </w:pPr>
            <w:r>
              <w:rPr>
                <w:snapToGrid w:val="0"/>
                <w:spacing w:val="-13"/>
                <w:sz w:val="24"/>
                <w:szCs w:val="24"/>
              </w:rPr>
              <w:t>2</w:t>
            </w:r>
            <w:r>
              <w:rPr>
                <w:rFonts w:hint="default"/>
                <w:snapToGrid w:val="0"/>
                <w:spacing w:val="-13"/>
                <w:sz w:val="24"/>
                <w:szCs w:val="24"/>
              </w:rPr>
              <w:t>9</w:t>
            </w:r>
          </w:p>
        </w:tc>
        <w:tc>
          <w:tcPr>
            <w:tcW w:w="5864" w:type="dxa"/>
            <w:noWrap w:val="0"/>
            <w:vAlign w:val="center"/>
          </w:tcPr>
          <w:p w14:paraId="12E4CB5C">
            <w:pPr>
              <w:pStyle w:val="269"/>
              <w:spacing w:line="191" w:lineRule="auto"/>
              <w:jc w:val="left"/>
              <w:rPr>
                <w:rFonts w:hint="eastAsia" w:ascii="仿宋" w:hAnsi="仿宋" w:eastAsia="仿宋" w:cs="仿宋"/>
                <w:b w:val="0"/>
                <w:bCs w:val="0"/>
                <w:snapToGrid w:val="0"/>
                <w:color w:val="000000"/>
                <w:sz w:val="24"/>
                <w:szCs w:val="24"/>
              </w:rPr>
            </w:pPr>
            <w:r>
              <w:rPr>
                <w:snapToGrid w:val="0"/>
                <w:spacing w:val="5"/>
                <w:sz w:val="24"/>
                <w:szCs w:val="24"/>
                <w:lang w:eastAsia="zh-CN"/>
              </w:rPr>
              <w:t>维修过程中未放置安全标识牌、警戒线，高</w:t>
            </w:r>
            <w:r>
              <w:rPr>
                <w:snapToGrid w:val="0"/>
                <w:spacing w:val="7"/>
                <w:sz w:val="24"/>
                <w:szCs w:val="24"/>
                <w:lang w:eastAsia="zh-CN"/>
              </w:rPr>
              <w:t>危作业未做安全防护</w:t>
            </w:r>
          </w:p>
        </w:tc>
        <w:tc>
          <w:tcPr>
            <w:tcW w:w="1857" w:type="dxa"/>
            <w:noWrap w:val="0"/>
            <w:vAlign w:val="center"/>
          </w:tcPr>
          <w:p w14:paraId="5267F245">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81" w:type="dxa"/>
            <w:noWrap w:val="0"/>
            <w:vAlign w:val="top"/>
          </w:tcPr>
          <w:p w14:paraId="188B995C">
            <w:pPr>
              <w:pStyle w:val="269"/>
              <w:spacing w:line="200" w:lineRule="auto"/>
              <w:jc w:val="center"/>
              <w:rPr>
                <w:rFonts w:hint="eastAsia" w:ascii="仿宋" w:hAnsi="仿宋" w:eastAsia="仿宋" w:cs="仿宋"/>
                <w:b w:val="0"/>
                <w:bCs w:val="0"/>
                <w:snapToGrid w:val="0"/>
                <w:color w:val="000000"/>
                <w:spacing w:val="8"/>
                <w:sz w:val="24"/>
                <w:szCs w:val="24"/>
              </w:rPr>
            </w:pPr>
          </w:p>
        </w:tc>
      </w:tr>
      <w:tr w14:paraId="0474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restart"/>
            <w:tcBorders>
              <w:top w:val="nil"/>
            </w:tcBorders>
            <w:noWrap w:val="0"/>
            <w:vAlign w:val="center"/>
          </w:tcPr>
          <w:p w14:paraId="050B8196">
            <w:pPr>
              <w:pStyle w:val="269"/>
              <w:spacing w:line="200" w:lineRule="auto"/>
              <w:jc w:val="center"/>
              <w:rPr>
                <w:rFonts w:hint="eastAsia" w:ascii="仿宋" w:hAnsi="仿宋" w:eastAsia="仿宋" w:cs="仿宋"/>
                <w:b w:val="0"/>
                <w:bCs w:val="0"/>
                <w:snapToGrid w:val="0"/>
                <w:color w:val="000000"/>
                <w:sz w:val="24"/>
                <w:szCs w:val="24"/>
              </w:rPr>
            </w:pPr>
            <w:r>
              <w:rPr>
                <w:snapToGrid w:val="0"/>
                <w:spacing w:val="1"/>
                <w:sz w:val="24"/>
                <w:szCs w:val="24"/>
              </w:rPr>
              <w:t>投诉</w:t>
            </w:r>
          </w:p>
        </w:tc>
        <w:tc>
          <w:tcPr>
            <w:tcW w:w="764" w:type="dxa"/>
            <w:noWrap w:val="0"/>
            <w:vAlign w:val="center"/>
          </w:tcPr>
          <w:p w14:paraId="23CB30C3">
            <w:pPr>
              <w:pStyle w:val="269"/>
              <w:spacing w:line="174" w:lineRule="auto"/>
              <w:jc w:val="center"/>
              <w:rPr>
                <w:rFonts w:hint="eastAsia" w:ascii="仿宋" w:hAnsi="仿宋" w:eastAsia="仿宋" w:cs="仿宋"/>
                <w:b w:val="0"/>
                <w:bCs w:val="0"/>
                <w:snapToGrid w:val="0"/>
                <w:color w:val="000000"/>
                <w:sz w:val="24"/>
                <w:szCs w:val="24"/>
              </w:rPr>
            </w:pPr>
            <w:r>
              <w:rPr>
                <w:rFonts w:hint="default"/>
                <w:snapToGrid w:val="0"/>
                <w:spacing w:val="-13"/>
                <w:sz w:val="24"/>
                <w:szCs w:val="24"/>
              </w:rPr>
              <w:t>30</w:t>
            </w:r>
          </w:p>
        </w:tc>
        <w:tc>
          <w:tcPr>
            <w:tcW w:w="5864" w:type="dxa"/>
            <w:noWrap w:val="0"/>
            <w:vAlign w:val="center"/>
          </w:tcPr>
          <w:p w14:paraId="0C5BE0F8">
            <w:pPr>
              <w:pStyle w:val="269"/>
              <w:spacing w:line="199" w:lineRule="auto"/>
              <w:jc w:val="left"/>
              <w:rPr>
                <w:rFonts w:hint="eastAsia" w:ascii="仿宋" w:hAnsi="仿宋" w:eastAsia="仿宋" w:cs="仿宋"/>
                <w:b w:val="0"/>
                <w:bCs w:val="0"/>
                <w:snapToGrid w:val="0"/>
                <w:color w:val="000000"/>
                <w:sz w:val="24"/>
                <w:szCs w:val="24"/>
              </w:rPr>
            </w:pPr>
            <w:r>
              <w:rPr>
                <w:snapToGrid w:val="0"/>
                <w:spacing w:val="7"/>
                <w:sz w:val="24"/>
                <w:szCs w:val="24"/>
              </w:rPr>
              <w:t>发生师生有效投诉</w:t>
            </w:r>
          </w:p>
        </w:tc>
        <w:tc>
          <w:tcPr>
            <w:tcW w:w="1857" w:type="dxa"/>
            <w:noWrap w:val="0"/>
            <w:vAlign w:val="center"/>
          </w:tcPr>
          <w:p w14:paraId="2D3CF64C">
            <w:pPr>
              <w:pStyle w:val="269"/>
              <w:spacing w:line="199" w:lineRule="auto"/>
              <w:jc w:val="left"/>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81" w:type="dxa"/>
            <w:noWrap w:val="0"/>
            <w:vAlign w:val="top"/>
          </w:tcPr>
          <w:p w14:paraId="3867B505">
            <w:pPr>
              <w:pStyle w:val="269"/>
              <w:spacing w:line="199" w:lineRule="auto"/>
              <w:jc w:val="center"/>
              <w:rPr>
                <w:rFonts w:hint="eastAsia" w:ascii="仿宋" w:hAnsi="仿宋" w:eastAsia="仿宋" w:cs="仿宋"/>
                <w:b w:val="0"/>
                <w:bCs w:val="0"/>
                <w:snapToGrid w:val="0"/>
                <w:color w:val="000000"/>
                <w:spacing w:val="8"/>
                <w:sz w:val="24"/>
                <w:szCs w:val="24"/>
              </w:rPr>
            </w:pPr>
          </w:p>
        </w:tc>
      </w:tr>
      <w:tr w14:paraId="3097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bottom w:val="nil"/>
            </w:tcBorders>
            <w:noWrap w:val="0"/>
            <w:vAlign w:val="center"/>
          </w:tcPr>
          <w:p w14:paraId="3B4F49C5">
            <w:pPr>
              <w:jc w:val="center"/>
              <w:rPr>
                <w:rFonts w:hint="eastAsia" w:ascii="仿宋" w:hAnsi="仿宋" w:eastAsia="仿宋" w:cs="仿宋"/>
                <w:b w:val="0"/>
                <w:bCs w:val="0"/>
                <w:snapToGrid w:val="0"/>
                <w:color w:val="000000"/>
                <w:sz w:val="24"/>
                <w:szCs w:val="24"/>
              </w:rPr>
            </w:pPr>
          </w:p>
        </w:tc>
        <w:tc>
          <w:tcPr>
            <w:tcW w:w="764" w:type="dxa"/>
            <w:noWrap w:val="0"/>
            <w:vAlign w:val="center"/>
          </w:tcPr>
          <w:p w14:paraId="30EE97FE">
            <w:pPr>
              <w:pStyle w:val="269"/>
              <w:spacing w:line="212" w:lineRule="auto"/>
              <w:jc w:val="center"/>
              <w:rPr>
                <w:rFonts w:hint="eastAsia" w:ascii="仿宋" w:hAnsi="仿宋" w:eastAsia="仿宋" w:cs="仿宋"/>
                <w:b w:val="0"/>
                <w:bCs w:val="0"/>
                <w:snapToGrid w:val="0"/>
                <w:color w:val="000000"/>
                <w:sz w:val="24"/>
                <w:szCs w:val="24"/>
              </w:rPr>
            </w:pPr>
            <w:r>
              <w:rPr>
                <w:rFonts w:hint="default"/>
                <w:snapToGrid w:val="0"/>
                <w:spacing w:val="-13"/>
                <w:sz w:val="24"/>
                <w:szCs w:val="24"/>
              </w:rPr>
              <w:t>31</w:t>
            </w:r>
          </w:p>
        </w:tc>
        <w:tc>
          <w:tcPr>
            <w:tcW w:w="5864" w:type="dxa"/>
            <w:noWrap w:val="0"/>
            <w:vAlign w:val="center"/>
          </w:tcPr>
          <w:p w14:paraId="11EF7067">
            <w:pPr>
              <w:pStyle w:val="269"/>
              <w:spacing w:line="191" w:lineRule="auto"/>
              <w:ind w:firstLine="2" w:firstLineChars="0"/>
              <w:jc w:val="left"/>
              <w:rPr>
                <w:rFonts w:hint="eastAsia" w:ascii="仿宋" w:hAnsi="仿宋" w:eastAsia="仿宋" w:cs="仿宋"/>
                <w:b w:val="0"/>
                <w:bCs w:val="0"/>
                <w:snapToGrid w:val="0"/>
                <w:color w:val="000000"/>
                <w:sz w:val="24"/>
                <w:szCs w:val="24"/>
              </w:rPr>
            </w:pPr>
            <w:r>
              <w:rPr>
                <w:snapToGrid w:val="0"/>
                <w:spacing w:val="17"/>
                <w:sz w:val="24"/>
                <w:szCs w:val="24"/>
                <w:lang w:eastAsia="zh-CN"/>
              </w:rPr>
              <w:t>对投诉问题未及时整改且未对师生进行解</w:t>
            </w:r>
            <w:r>
              <w:rPr>
                <w:snapToGrid w:val="0"/>
                <w:spacing w:val="-2"/>
                <w:sz w:val="24"/>
                <w:szCs w:val="24"/>
                <w:lang w:eastAsia="zh-CN"/>
              </w:rPr>
              <w:t>释、</w:t>
            </w:r>
            <w:r>
              <w:rPr>
                <w:snapToGrid w:val="0"/>
                <w:spacing w:val="-35"/>
                <w:sz w:val="24"/>
                <w:szCs w:val="24"/>
                <w:lang w:eastAsia="zh-CN"/>
              </w:rPr>
              <w:t xml:space="preserve"> </w:t>
            </w:r>
            <w:r>
              <w:rPr>
                <w:snapToGrid w:val="0"/>
                <w:spacing w:val="-2"/>
                <w:sz w:val="24"/>
                <w:szCs w:val="24"/>
                <w:lang w:eastAsia="zh-CN"/>
              </w:rPr>
              <w:t>上报</w:t>
            </w:r>
          </w:p>
        </w:tc>
        <w:tc>
          <w:tcPr>
            <w:tcW w:w="1857" w:type="dxa"/>
            <w:noWrap w:val="0"/>
            <w:vAlign w:val="center"/>
          </w:tcPr>
          <w:p w14:paraId="36A08048">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每次扣2分</w:t>
            </w:r>
          </w:p>
        </w:tc>
        <w:tc>
          <w:tcPr>
            <w:tcW w:w="681" w:type="dxa"/>
            <w:noWrap w:val="0"/>
            <w:vAlign w:val="top"/>
          </w:tcPr>
          <w:p w14:paraId="158F9368">
            <w:pPr>
              <w:pStyle w:val="269"/>
              <w:spacing w:line="200" w:lineRule="auto"/>
              <w:jc w:val="center"/>
              <w:rPr>
                <w:rFonts w:hint="eastAsia" w:ascii="仿宋" w:hAnsi="仿宋" w:eastAsia="仿宋" w:cs="仿宋"/>
                <w:b w:val="0"/>
                <w:bCs w:val="0"/>
                <w:snapToGrid w:val="0"/>
                <w:color w:val="000000"/>
                <w:spacing w:val="8"/>
                <w:sz w:val="24"/>
                <w:szCs w:val="24"/>
              </w:rPr>
            </w:pPr>
          </w:p>
        </w:tc>
      </w:tr>
      <w:tr w14:paraId="7CB2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tcBorders>
              <w:top w:val="nil"/>
              <w:bottom w:val="nil"/>
            </w:tcBorders>
            <w:noWrap w:val="0"/>
            <w:vAlign w:val="center"/>
          </w:tcPr>
          <w:p w14:paraId="7140A4FE">
            <w:pPr>
              <w:jc w:val="center"/>
              <w:rPr>
                <w:rFonts w:hint="eastAsia" w:ascii="仿宋" w:hAnsi="仿宋" w:eastAsia="仿宋" w:cs="仿宋"/>
                <w:b w:val="0"/>
                <w:bCs w:val="0"/>
                <w:snapToGrid w:val="0"/>
                <w:color w:val="000000"/>
                <w:sz w:val="24"/>
                <w:szCs w:val="24"/>
              </w:rPr>
            </w:pPr>
          </w:p>
        </w:tc>
        <w:tc>
          <w:tcPr>
            <w:tcW w:w="764" w:type="dxa"/>
            <w:noWrap w:val="0"/>
            <w:vAlign w:val="center"/>
          </w:tcPr>
          <w:p w14:paraId="7FC3D8A6">
            <w:pPr>
              <w:pStyle w:val="269"/>
              <w:spacing w:line="212" w:lineRule="auto"/>
              <w:jc w:val="center"/>
              <w:rPr>
                <w:rFonts w:hint="eastAsia" w:ascii="仿宋" w:hAnsi="仿宋" w:eastAsia="仿宋" w:cs="仿宋"/>
                <w:b w:val="0"/>
                <w:bCs w:val="0"/>
                <w:snapToGrid w:val="0"/>
                <w:color w:val="000000"/>
                <w:sz w:val="24"/>
                <w:szCs w:val="24"/>
              </w:rPr>
            </w:pPr>
            <w:r>
              <w:rPr>
                <w:snapToGrid w:val="0"/>
                <w:spacing w:val="-14"/>
                <w:sz w:val="24"/>
                <w:szCs w:val="24"/>
              </w:rPr>
              <w:t>3</w:t>
            </w:r>
            <w:r>
              <w:rPr>
                <w:rFonts w:hint="default"/>
                <w:snapToGrid w:val="0"/>
                <w:spacing w:val="-14"/>
                <w:sz w:val="24"/>
                <w:szCs w:val="24"/>
              </w:rPr>
              <w:t>2</w:t>
            </w:r>
          </w:p>
        </w:tc>
        <w:tc>
          <w:tcPr>
            <w:tcW w:w="5864" w:type="dxa"/>
            <w:noWrap w:val="0"/>
            <w:vAlign w:val="center"/>
          </w:tcPr>
          <w:p w14:paraId="7FD8F8D0">
            <w:pPr>
              <w:pStyle w:val="269"/>
              <w:spacing w:line="190" w:lineRule="auto"/>
              <w:ind w:firstLine="8" w:firstLineChars="0"/>
              <w:jc w:val="left"/>
              <w:rPr>
                <w:rFonts w:hint="eastAsia" w:ascii="仿宋" w:hAnsi="仿宋" w:eastAsia="仿宋" w:cs="仿宋"/>
                <w:b w:val="0"/>
                <w:bCs w:val="0"/>
                <w:snapToGrid w:val="0"/>
                <w:color w:val="000000"/>
                <w:sz w:val="24"/>
                <w:szCs w:val="24"/>
              </w:rPr>
            </w:pPr>
            <w:r>
              <w:rPr>
                <w:snapToGrid w:val="0"/>
                <w:spacing w:val="16"/>
                <w:sz w:val="24"/>
                <w:szCs w:val="24"/>
                <w:lang w:eastAsia="zh-CN"/>
              </w:rPr>
              <w:t>师生有效投诉且不能如期整改或整改效果</w:t>
            </w:r>
            <w:r>
              <w:rPr>
                <w:snapToGrid w:val="0"/>
                <w:spacing w:val="3"/>
                <w:sz w:val="24"/>
                <w:szCs w:val="24"/>
                <w:lang w:eastAsia="zh-CN"/>
              </w:rPr>
              <w:t>不明显</w:t>
            </w:r>
          </w:p>
        </w:tc>
        <w:tc>
          <w:tcPr>
            <w:tcW w:w="1857" w:type="dxa"/>
            <w:noWrap w:val="0"/>
            <w:vAlign w:val="center"/>
          </w:tcPr>
          <w:p w14:paraId="776F1DC0">
            <w:pPr>
              <w:pStyle w:val="269"/>
              <w:spacing w:line="200" w:lineRule="auto"/>
              <w:jc w:val="left"/>
              <w:rPr>
                <w:rFonts w:hint="eastAsia" w:ascii="仿宋" w:hAnsi="仿宋" w:eastAsia="仿宋" w:cs="仿宋"/>
                <w:b w:val="0"/>
                <w:bCs w:val="0"/>
                <w:snapToGrid w:val="0"/>
                <w:color w:val="000000"/>
                <w:sz w:val="24"/>
                <w:szCs w:val="24"/>
              </w:rPr>
            </w:pPr>
            <w:r>
              <w:rPr>
                <w:snapToGrid w:val="0"/>
                <w:spacing w:val="8"/>
                <w:sz w:val="24"/>
                <w:szCs w:val="24"/>
              </w:rPr>
              <w:t>每次扣4分</w:t>
            </w:r>
          </w:p>
        </w:tc>
        <w:tc>
          <w:tcPr>
            <w:tcW w:w="681" w:type="dxa"/>
            <w:noWrap w:val="0"/>
            <w:vAlign w:val="top"/>
          </w:tcPr>
          <w:p w14:paraId="2462BA1B">
            <w:pPr>
              <w:pStyle w:val="269"/>
              <w:spacing w:line="200" w:lineRule="auto"/>
              <w:jc w:val="center"/>
              <w:rPr>
                <w:rFonts w:hint="eastAsia" w:ascii="仿宋" w:hAnsi="仿宋" w:eastAsia="仿宋" w:cs="仿宋"/>
                <w:b w:val="0"/>
                <w:bCs w:val="0"/>
                <w:snapToGrid w:val="0"/>
                <w:color w:val="000000"/>
                <w:spacing w:val="-3"/>
                <w:sz w:val="24"/>
                <w:szCs w:val="24"/>
              </w:rPr>
            </w:pPr>
          </w:p>
        </w:tc>
      </w:tr>
      <w:tr w14:paraId="5A23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restart"/>
            <w:tcBorders>
              <w:top w:val="nil"/>
            </w:tcBorders>
            <w:noWrap w:val="0"/>
            <w:vAlign w:val="center"/>
          </w:tcPr>
          <w:p w14:paraId="439EF752">
            <w:pPr>
              <w:pStyle w:val="269"/>
              <w:spacing w:line="200" w:lineRule="auto"/>
              <w:jc w:val="center"/>
              <w:rPr>
                <w:rFonts w:hint="eastAsia" w:ascii="仿宋" w:hAnsi="仿宋" w:eastAsia="仿宋" w:cs="仿宋"/>
                <w:b w:val="0"/>
                <w:bCs w:val="0"/>
                <w:snapToGrid w:val="0"/>
                <w:color w:val="000000"/>
                <w:sz w:val="24"/>
                <w:szCs w:val="24"/>
              </w:rPr>
            </w:pPr>
            <w:r>
              <w:rPr>
                <w:snapToGrid w:val="0"/>
                <w:sz w:val="24"/>
                <w:szCs w:val="24"/>
              </w:rPr>
              <w:t>其他</w:t>
            </w:r>
          </w:p>
        </w:tc>
        <w:tc>
          <w:tcPr>
            <w:tcW w:w="764" w:type="dxa"/>
            <w:noWrap w:val="0"/>
            <w:vAlign w:val="center"/>
          </w:tcPr>
          <w:p w14:paraId="5F9E783A">
            <w:pPr>
              <w:pStyle w:val="269"/>
              <w:spacing w:line="174" w:lineRule="auto"/>
              <w:jc w:val="center"/>
              <w:rPr>
                <w:rFonts w:hint="eastAsia" w:ascii="仿宋" w:hAnsi="仿宋" w:eastAsia="仿宋" w:cs="仿宋"/>
                <w:b w:val="0"/>
                <w:bCs w:val="0"/>
                <w:snapToGrid w:val="0"/>
                <w:color w:val="000000"/>
                <w:sz w:val="24"/>
                <w:szCs w:val="24"/>
              </w:rPr>
            </w:pPr>
            <w:r>
              <w:rPr>
                <w:snapToGrid w:val="0"/>
                <w:spacing w:val="-1"/>
                <w:sz w:val="24"/>
                <w:szCs w:val="24"/>
              </w:rPr>
              <w:t>3</w:t>
            </w:r>
            <w:r>
              <w:rPr>
                <w:rFonts w:hint="default"/>
                <w:snapToGrid w:val="0"/>
                <w:spacing w:val="-1"/>
                <w:sz w:val="24"/>
                <w:szCs w:val="24"/>
              </w:rPr>
              <w:t>3</w:t>
            </w:r>
          </w:p>
        </w:tc>
        <w:tc>
          <w:tcPr>
            <w:tcW w:w="5864" w:type="dxa"/>
            <w:noWrap w:val="0"/>
            <w:vAlign w:val="center"/>
          </w:tcPr>
          <w:p w14:paraId="011BD8F3">
            <w:pPr>
              <w:pStyle w:val="269"/>
              <w:spacing w:line="199" w:lineRule="auto"/>
              <w:jc w:val="left"/>
              <w:rPr>
                <w:rFonts w:hint="eastAsia" w:ascii="仿宋" w:hAnsi="仿宋" w:eastAsia="仿宋" w:cs="仿宋"/>
                <w:b w:val="0"/>
                <w:bCs w:val="0"/>
                <w:snapToGrid w:val="0"/>
                <w:color w:val="000000"/>
                <w:sz w:val="24"/>
                <w:szCs w:val="24"/>
              </w:rPr>
            </w:pPr>
            <w:r>
              <w:rPr>
                <w:snapToGrid w:val="0"/>
                <w:spacing w:val="8"/>
                <w:sz w:val="24"/>
                <w:szCs w:val="24"/>
                <w:lang w:eastAsia="zh-CN"/>
              </w:rPr>
              <w:t>在上级领导巡查期间被批评</w:t>
            </w:r>
          </w:p>
        </w:tc>
        <w:tc>
          <w:tcPr>
            <w:tcW w:w="1857" w:type="dxa"/>
            <w:noWrap w:val="0"/>
            <w:vAlign w:val="center"/>
          </w:tcPr>
          <w:p w14:paraId="40B0F2E3">
            <w:pPr>
              <w:pStyle w:val="269"/>
              <w:spacing w:line="199" w:lineRule="auto"/>
              <w:jc w:val="left"/>
              <w:rPr>
                <w:rFonts w:hint="eastAsia" w:ascii="仿宋" w:hAnsi="仿宋" w:eastAsia="仿宋" w:cs="仿宋"/>
                <w:b w:val="0"/>
                <w:bCs w:val="0"/>
                <w:snapToGrid w:val="0"/>
                <w:color w:val="000000"/>
                <w:sz w:val="24"/>
                <w:szCs w:val="24"/>
              </w:rPr>
            </w:pPr>
            <w:r>
              <w:rPr>
                <w:snapToGrid w:val="0"/>
                <w:spacing w:val="8"/>
                <w:sz w:val="24"/>
                <w:szCs w:val="24"/>
              </w:rPr>
              <w:t>每次扣5分</w:t>
            </w:r>
          </w:p>
        </w:tc>
        <w:tc>
          <w:tcPr>
            <w:tcW w:w="681" w:type="dxa"/>
            <w:noWrap w:val="0"/>
            <w:vAlign w:val="top"/>
          </w:tcPr>
          <w:p w14:paraId="039EF071">
            <w:pPr>
              <w:pStyle w:val="269"/>
              <w:spacing w:line="199" w:lineRule="auto"/>
              <w:jc w:val="center"/>
              <w:rPr>
                <w:rFonts w:hint="eastAsia" w:ascii="仿宋" w:hAnsi="仿宋" w:eastAsia="仿宋" w:cs="仿宋"/>
                <w:b w:val="0"/>
                <w:bCs w:val="0"/>
                <w:snapToGrid w:val="0"/>
                <w:color w:val="000000"/>
                <w:spacing w:val="-2"/>
                <w:sz w:val="24"/>
                <w:szCs w:val="24"/>
              </w:rPr>
            </w:pPr>
          </w:p>
        </w:tc>
      </w:tr>
      <w:tr w14:paraId="15F5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72" w:type="dxa"/>
            <w:vMerge w:val="continue"/>
            <w:noWrap w:val="0"/>
            <w:vAlign w:val="center"/>
          </w:tcPr>
          <w:p w14:paraId="6D6030E4">
            <w:pPr>
              <w:jc w:val="center"/>
              <w:rPr>
                <w:rFonts w:hint="eastAsia" w:ascii="仿宋" w:hAnsi="仿宋" w:eastAsia="仿宋" w:cs="仿宋"/>
                <w:b w:val="0"/>
                <w:bCs w:val="0"/>
                <w:snapToGrid w:val="0"/>
                <w:color w:val="000000"/>
                <w:sz w:val="24"/>
                <w:szCs w:val="24"/>
              </w:rPr>
            </w:pPr>
          </w:p>
        </w:tc>
        <w:tc>
          <w:tcPr>
            <w:tcW w:w="764" w:type="dxa"/>
            <w:noWrap w:val="0"/>
            <w:vAlign w:val="center"/>
          </w:tcPr>
          <w:p w14:paraId="498A55FC">
            <w:pPr>
              <w:pStyle w:val="269"/>
              <w:spacing w:line="212" w:lineRule="auto"/>
              <w:jc w:val="center"/>
              <w:rPr>
                <w:rFonts w:hint="eastAsia" w:ascii="仿宋" w:hAnsi="仿宋" w:eastAsia="仿宋" w:cs="仿宋"/>
                <w:b w:val="0"/>
                <w:bCs w:val="0"/>
                <w:snapToGrid w:val="0"/>
                <w:color w:val="000000"/>
                <w:sz w:val="24"/>
                <w:szCs w:val="24"/>
              </w:rPr>
            </w:pPr>
            <w:r>
              <w:rPr>
                <w:snapToGrid w:val="0"/>
                <w:spacing w:val="-14"/>
                <w:sz w:val="24"/>
                <w:szCs w:val="24"/>
              </w:rPr>
              <w:t>3</w:t>
            </w:r>
            <w:r>
              <w:rPr>
                <w:rFonts w:hint="default"/>
                <w:snapToGrid w:val="0"/>
                <w:spacing w:val="-14"/>
                <w:sz w:val="24"/>
                <w:szCs w:val="24"/>
              </w:rPr>
              <w:t>4</w:t>
            </w:r>
          </w:p>
        </w:tc>
        <w:tc>
          <w:tcPr>
            <w:tcW w:w="5864" w:type="dxa"/>
            <w:noWrap w:val="0"/>
            <w:vAlign w:val="center"/>
          </w:tcPr>
          <w:p w14:paraId="607B7DBE">
            <w:pPr>
              <w:pStyle w:val="269"/>
              <w:spacing w:line="190" w:lineRule="auto"/>
              <w:jc w:val="left"/>
              <w:rPr>
                <w:rFonts w:hint="eastAsia" w:ascii="仿宋" w:hAnsi="仿宋" w:eastAsia="仿宋" w:cs="仿宋"/>
                <w:b w:val="0"/>
                <w:bCs w:val="0"/>
                <w:snapToGrid w:val="0"/>
                <w:color w:val="000000"/>
                <w:sz w:val="24"/>
                <w:szCs w:val="24"/>
              </w:rPr>
            </w:pPr>
            <w:r>
              <w:rPr>
                <w:snapToGrid w:val="0"/>
                <w:spacing w:val="17"/>
                <w:sz w:val="24"/>
                <w:szCs w:val="24"/>
                <w:lang w:eastAsia="zh-CN"/>
              </w:rPr>
              <w:t>在各级各类检查评比活动中被点名批评或</w:t>
            </w:r>
            <w:r>
              <w:rPr>
                <w:snapToGrid w:val="0"/>
                <w:spacing w:val="5"/>
                <w:sz w:val="24"/>
                <w:szCs w:val="24"/>
                <w:lang w:eastAsia="zh-CN"/>
              </w:rPr>
              <w:t>查出问题</w:t>
            </w:r>
          </w:p>
        </w:tc>
        <w:tc>
          <w:tcPr>
            <w:tcW w:w="1857" w:type="dxa"/>
            <w:noWrap w:val="0"/>
            <w:vAlign w:val="center"/>
          </w:tcPr>
          <w:p w14:paraId="7ED51C02">
            <w:pPr>
              <w:pStyle w:val="269"/>
              <w:spacing w:line="200" w:lineRule="auto"/>
              <w:jc w:val="left"/>
              <w:rPr>
                <w:rFonts w:hint="eastAsia" w:ascii="仿宋" w:hAnsi="仿宋" w:eastAsia="仿宋" w:cs="仿宋"/>
                <w:b w:val="0"/>
                <w:bCs w:val="0"/>
                <w:snapToGrid w:val="0"/>
                <w:color w:val="000000"/>
                <w:sz w:val="24"/>
                <w:szCs w:val="24"/>
              </w:rPr>
            </w:pPr>
            <w:r>
              <w:rPr>
                <w:snapToGrid w:val="0"/>
                <w:spacing w:val="-3"/>
                <w:sz w:val="24"/>
                <w:szCs w:val="24"/>
              </w:rPr>
              <w:t>每次扣5-10分</w:t>
            </w:r>
          </w:p>
        </w:tc>
        <w:tc>
          <w:tcPr>
            <w:tcW w:w="681" w:type="dxa"/>
            <w:noWrap w:val="0"/>
            <w:vAlign w:val="top"/>
          </w:tcPr>
          <w:p w14:paraId="0A5F33A7">
            <w:pPr>
              <w:pStyle w:val="269"/>
              <w:spacing w:line="200" w:lineRule="auto"/>
              <w:jc w:val="center"/>
              <w:rPr>
                <w:rFonts w:hint="eastAsia" w:ascii="仿宋" w:hAnsi="仿宋" w:eastAsia="仿宋" w:cs="仿宋"/>
                <w:b w:val="0"/>
                <w:bCs w:val="0"/>
                <w:snapToGrid w:val="0"/>
                <w:color w:val="000000"/>
                <w:sz w:val="24"/>
                <w:szCs w:val="24"/>
              </w:rPr>
            </w:pPr>
          </w:p>
        </w:tc>
      </w:tr>
    </w:tbl>
    <w:p w14:paraId="3186FF01">
      <w:pPr>
        <w:pageBreakBefore w:val="0"/>
        <w:kinsoku/>
        <w:wordWrap/>
        <w:overflowPunct/>
        <w:topLinePunct w:val="0"/>
        <w:bidi w:val="0"/>
        <w:spacing w:line="89" w:lineRule="auto"/>
        <w:ind w:left="0" w:leftChars="0" w:right="0"/>
        <w:jc w:val="both"/>
        <w:rPr>
          <w:rFonts w:hint="eastAsia" w:ascii="仿宋" w:hAnsi="仿宋" w:eastAsia="仿宋" w:cs="仿宋"/>
          <w:sz w:val="28"/>
          <w:szCs w:val="28"/>
        </w:rPr>
      </w:pPr>
    </w:p>
    <w:p w14:paraId="199888A4">
      <w:pPr>
        <w:pStyle w:val="4"/>
        <w:pageBreakBefore w:val="0"/>
        <w:kinsoku/>
        <w:wordWrap/>
        <w:overflowPunct/>
        <w:topLinePunct w:val="0"/>
        <w:bidi w:val="0"/>
        <w:spacing w:before="0" w:line="192" w:lineRule="auto"/>
        <w:ind w:left="0" w:leftChars="0" w:right="0"/>
        <w:jc w:val="both"/>
        <w:rPr>
          <w:rFonts w:hint="eastAsia" w:ascii="仿宋" w:hAnsi="仿宋" w:eastAsia="仿宋" w:cs="仿宋"/>
          <w:sz w:val="28"/>
          <w:szCs w:val="28"/>
        </w:rPr>
      </w:pPr>
      <w:r>
        <w:rPr>
          <w:rFonts w:hint="eastAsia" w:ascii="仿宋" w:hAnsi="仿宋" w:eastAsia="仿宋" w:cs="仿宋"/>
          <w:b w:val="0"/>
          <w:bCs w:val="0"/>
          <w:sz w:val="28"/>
          <w:szCs w:val="28"/>
        </w:rPr>
        <w:t>备注：考核总分为100分，减去扣分后为最终得分。</w:t>
      </w:r>
    </w:p>
    <w:p w14:paraId="00176883">
      <w:pPr>
        <w:pageBreakBefore w:val="0"/>
        <w:kinsoku/>
        <w:wordWrap/>
        <w:overflowPunct/>
        <w:topLinePunct w:val="0"/>
        <w:bidi w:val="0"/>
        <w:spacing w:line="400" w:lineRule="exact"/>
        <w:ind w:left="0" w:leftChars="0" w:right="0"/>
        <w:jc w:val="both"/>
        <w:rPr>
          <w:rFonts w:ascii="仿宋_GB2312" w:hAnsi="仿宋_GB2312" w:cs="仿宋_GB2312"/>
          <w:color w:val="auto"/>
          <w:sz w:val="24"/>
          <w:szCs w:val="24"/>
        </w:rPr>
      </w:pPr>
    </w:p>
    <w:p w14:paraId="1549E038">
      <w:pPr>
        <w:pStyle w:val="152"/>
        <w:pageBreakBefore w:val="0"/>
        <w:wordWrap/>
        <w:topLinePunct w:val="0"/>
        <w:bidi w:val="0"/>
        <w:spacing w:after="340" w:line="360" w:lineRule="auto"/>
        <w:ind w:left="0" w:leftChars="0" w:firstLine="0" w:firstLineChars="0"/>
        <w:jc w:val="center"/>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r>
        <w:rPr>
          <w:rFonts w:hint="eastAsia" w:ascii="仿宋" w:hAnsi="仿宋" w:eastAsia="仿宋" w:cs="仿宋"/>
          <w:b/>
          <w:bCs/>
          <w:sz w:val="36"/>
          <w:szCs w:val="36"/>
          <w:lang w:val="en-US" w:eastAsia="zh-CN"/>
        </w:rPr>
        <w:t>第九章 附件</w:t>
      </w:r>
      <w:bookmarkEnd w:id="594"/>
      <w:bookmarkEnd w:id="595"/>
      <w:bookmarkEnd w:id="596"/>
      <w:bookmarkEnd w:id="597"/>
    </w:p>
    <w:bookmarkEnd w:id="598"/>
    <w:bookmarkEnd w:id="599"/>
    <w:bookmarkEnd w:id="600"/>
    <w:bookmarkEnd w:id="601"/>
    <w:bookmarkEnd w:id="602"/>
    <w:bookmarkEnd w:id="603"/>
    <w:bookmarkEnd w:id="604"/>
    <w:bookmarkEnd w:id="605"/>
    <w:bookmarkEnd w:id="606"/>
    <w:bookmarkEnd w:id="607"/>
    <w:bookmarkEnd w:id="608"/>
    <w:bookmarkEnd w:id="609"/>
    <w:p w14:paraId="2A7591C1">
      <w:pPr>
        <w:keepNext/>
        <w:keepLines/>
        <w:pageBreakBefore w:val="0"/>
        <w:widowControl w:val="0"/>
        <w:wordWrap/>
        <w:topLinePunct w:val="0"/>
        <w:autoSpaceDE w:val="0"/>
        <w:autoSpaceDN w:val="0"/>
        <w:bidi w:val="0"/>
        <w:adjustRightInd w:val="0"/>
        <w:spacing w:line="360" w:lineRule="auto"/>
        <w:outlineLvl w:val="1"/>
        <w:rPr>
          <w:rFonts w:hint="eastAsia" w:ascii="仿宋" w:hAnsi="仿宋" w:eastAsia="仿宋" w:cs="仿宋"/>
          <w:bCs/>
          <w:color w:val="auto"/>
          <w:kern w:val="0"/>
          <w:sz w:val="28"/>
          <w:szCs w:val="28"/>
          <w:lang w:val="en-US" w:eastAsia="zh-CN"/>
        </w:rPr>
      </w:pPr>
      <w:bookmarkStart w:id="614" w:name="_Toc1681897155"/>
      <w:bookmarkStart w:id="615" w:name="_Toc1250555939_WPSOffice_Level1"/>
      <w:r>
        <w:rPr>
          <w:rFonts w:hint="eastAsia" w:ascii="仿宋" w:hAnsi="仿宋" w:eastAsia="仿宋" w:cs="仿宋"/>
          <w:bCs/>
          <w:color w:val="auto"/>
          <w:kern w:val="0"/>
          <w:sz w:val="28"/>
          <w:szCs w:val="28"/>
          <w:lang w:val="en-US" w:eastAsia="zh-CN"/>
        </w:rPr>
        <w:t>附件1：河南省政府采购合同融资政策告知函</w:t>
      </w:r>
      <w:bookmarkEnd w:id="614"/>
      <w:bookmarkEnd w:id="615"/>
    </w:p>
    <w:p w14:paraId="27B978BA">
      <w:pPr>
        <w:pageBreakBefore w:val="0"/>
        <w:widowControl w:val="0"/>
        <w:wordWrap/>
        <w:topLinePunct w:val="0"/>
        <w:bidi w:val="0"/>
        <w:spacing w:line="360" w:lineRule="auto"/>
        <w:jc w:val="left"/>
        <w:rPr>
          <w:rFonts w:hint="eastAsia" w:ascii="仿宋" w:hAnsi="仿宋" w:eastAsia="仿宋" w:cs="仿宋"/>
          <w:b/>
          <w:bCs/>
          <w:color w:val="auto"/>
          <w:sz w:val="28"/>
          <w:szCs w:val="28"/>
          <w:lang w:val="en-US" w:eastAsia="zh-CN"/>
        </w:rPr>
      </w:pPr>
    </w:p>
    <w:p w14:paraId="39F4A4BB">
      <w:pPr>
        <w:pageBreakBefore w:val="0"/>
        <w:wordWrap/>
        <w:topLinePunct w:val="0"/>
        <w:bidi w:val="0"/>
        <w:spacing w:line="360" w:lineRule="auto"/>
        <w:jc w:val="center"/>
        <w:rPr>
          <w:rFonts w:hint="eastAsia" w:ascii="仿宋" w:hAnsi="仿宋" w:eastAsia="仿宋" w:cs="仿宋"/>
          <w:b/>
          <w:bCs/>
          <w:color w:val="auto"/>
          <w:sz w:val="28"/>
          <w:szCs w:val="28"/>
          <w:lang w:val="en-US" w:eastAsia="zh-CN"/>
        </w:rPr>
      </w:pPr>
      <w:bookmarkStart w:id="616" w:name="_Toc495162933_WPSOffice_Level2"/>
      <w:bookmarkStart w:id="617" w:name="_Toc587059936_WPSOffice_Level2"/>
      <w:bookmarkStart w:id="618" w:name="_Toc285380293_WPSOffice_Level1"/>
      <w:bookmarkStart w:id="619" w:name="_Toc1740618990_WPSOffice_Level1"/>
      <w:bookmarkStart w:id="620" w:name="_Toc1775221587_WPSOffice_Level1"/>
      <w:r>
        <w:rPr>
          <w:rFonts w:hint="eastAsia" w:ascii="仿宋" w:hAnsi="仿宋" w:eastAsia="仿宋" w:cs="仿宋"/>
          <w:b/>
          <w:bCs/>
          <w:color w:val="auto"/>
          <w:sz w:val="28"/>
          <w:szCs w:val="28"/>
          <w:lang w:val="en-US" w:eastAsia="zh-CN"/>
        </w:rPr>
        <w:t>河南省政府采购合同融资政策告知函</w:t>
      </w:r>
      <w:bookmarkEnd w:id="616"/>
      <w:bookmarkEnd w:id="617"/>
      <w:bookmarkEnd w:id="618"/>
      <w:bookmarkEnd w:id="619"/>
      <w:bookmarkEnd w:id="620"/>
    </w:p>
    <w:p w14:paraId="47371B78">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p>
    <w:p w14:paraId="71103EF0">
      <w:pPr>
        <w:pageBreakBefore w:val="0"/>
        <w:widowControl w:val="0"/>
        <w:wordWrap/>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各供应商：</w:t>
      </w:r>
    </w:p>
    <w:p w14:paraId="7D8B89F6">
      <w:pPr>
        <w:pageBreakBefore w:val="0"/>
        <w:widowControl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欢迎贵公司参与河南省政府采购活动！</w:t>
      </w:r>
    </w:p>
    <w:p w14:paraId="46036D15">
      <w:pPr>
        <w:pageBreakBefore w:val="0"/>
        <w:widowControl w:val="0"/>
        <w:wordWrap/>
        <w:topLinePunct w:val="0"/>
        <w:bidi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F9B2878">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贷款渠道和提供贷款的金融机构，可在河南省政府采购网“河南省政府采购合同融资平台”查询联系。</w:t>
      </w:r>
    </w:p>
    <w:p w14:paraId="69B1FA09">
      <w:pPr>
        <w:pageBreakBefore w:val="0"/>
        <w:wordWrap/>
        <w:topLinePunct w:val="0"/>
        <w:bidi w:val="0"/>
        <w:spacing w:line="360" w:lineRule="auto"/>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eastAsia="zh-CN"/>
        </w:rPr>
        <w:br w:type="page"/>
      </w:r>
    </w:p>
    <w:p w14:paraId="69C2C38F">
      <w:pPr>
        <w:keepNext/>
        <w:keepLines/>
        <w:pageBreakBefore w:val="0"/>
        <w:widowControl w:val="0"/>
        <w:wordWrap/>
        <w:topLinePunct w:val="0"/>
        <w:autoSpaceDE w:val="0"/>
        <w:autoSpaceDN w:val="0"/>
        <w:bidi w:val="0"/>
        <w:adjustRightInd w:val="0"/>
        <w:spacing w:line="360" w:lineRule="auto"/>
        <w:outlineLvl w:val="1"/>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附件2：</w:t>
      </w:r>
      <w:bookmarkStart w:id="621" w:name="_Toc853194655"/>
      <w:bookmarkStart w:id="622" w:name="_Toc347624563"/>
      <w:bookmarkStart w:id="623" w:name="_Toc658018444_WPSOffice_Level2"/>
      <w:bookmarkStart w:id="624" w:name="_Toc1587242122"/>
      <w:r>
        <w:rPr>
          <w:rFonts w:hint="eastAsia" w:ascii="仿宋" w:hAnsi="仿宋" w:eastAsia="仿宋" w:cs="仿宋"/>
          <w:bCs/>
          <w:color w:val="auto"/>
          <w:kern w:val="0"/>
          <w:sz w:val="28"/>
          <w:szCs w:val="28"/>
          <w:lang w:val="en-US" w:eastAsia="zh-CN"/>
        </w:rPr>
        <w:t>关于印发中小企业划型标准规定的通知</w:t>
      </w:r>
      <w:bookmarkEnd w:id="621"/>
      <w:bookmarkEnd w:id="622"/>
      <w:bookmarkEnd w:id="623"/>
      <w:bookmarkEnd w:id="624"/>
    </w:p>
    <w:p w14:paraId="467E86C3">
      <w:pPr>
        <w:pStyle w:val="47"/>
        <w:pageBreakBefore w:val="0"/>
        <w:wordWrap/>
        <w:topLinePunct w:val="0"/>
        <w:bidi w:val="0"/>
        <w:spacing w:line="360" w:lineRule="auto"/>
        <w:jc w:val="center"/>
        <w:rPr>
          <w:rFonts w:hint="eastAsia" w:ascii="仿宋" w:hAnsi="仿宋" w:eastAsia="仿宋" w:cs="仿宋"/>
          <w:color w:val="auto"/>
          <w:sz w:val="28"/>
          <w:szCs w:val="28"/>
        </w:rPr>
      </w:pPr>
      <w:bookmarkStart w:id="625" w:name="_Toc1413325678_WPSOffice_Level3"/>
      <w:r>
        <w:rPr>
          <w:rFonts w:hint="eastAsia" w:ascii="仿宋" w:hAnsi="仿宋" w:eastAsia="仿宋" w:cs="仿宋"/>
          <w:color w:val="auto"/>
          <w:sz w:val="28"/>
          <w:szCs w:val="28"/>
        </w:rPr>
        <w:t>工信部联企业[2011]300号</w:t>
      </w:r>
      <w:bookmarkEnd w:id="625"/>
    </w:p>
    <w:p w14:paraId="7B38FC7A">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各省、自治区、直辖市人民政府，国务院各部委、各直属机构及有关单位：</w:t>
      </w:r>
    </w:p>
    <w:p w14:paraId="103460FD">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D66D5FA">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工业和信息化部　国家统计局</w:t>
      </w:r>
    </w:p>
    <w:p w14:paraId="4C6C2445">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国家发展和改革委员会　财政部</w:t>
      </w:r>
    </w:p>
    <w:p w14:paraId="248E14BF">
      <w:pPr>
        <w:pStyle w:val="47"/>
        <w:pageBreakBefore w:val="0"/>
        <w:wordWrap/>
        <w:topLinePunct w:val="0"/>
        <w:bidi w:val="0"/>
        <w:spacing w:line="360" w:lineRule="auto"/>
        <w:jc w:val="right"/>
        <w:rPr>
          <w:rFonts w:hint="eastAsia" w:ascii="仿宋" w:hAnsi="仿宋" w:eastAsia="仿宋" w:cs="仿宋"/>
          <w:color w:val="auto"/>
          <w:sz w:val="28"/>
          <w:szCs w:val="28"/>
        </w:rPr>
      </w:pPr>
      <w:r>
        <w:rPr>
          <w:rFonts w:hint="eastAsia" w:ascii="仿宋" w:hAnsi="仿宋" w:eastAsia="仿宋" w:cs="仿宋"/>
          <w:color w:val="auto"/>
          <w:sz w:val="28"/>
          <w:szCs w:val="28"/>
        </w:rPr>
        <w:t>　　　　　　　　　　　　　　　　　　　二〇一一年六月十八日</w:t>
      </w:r>
    </w:p>
    <w:p w14:paraId="1285CB9A">
      <w:pPr>
        <w:pStyle w:val="47"/>
        <w:pageBreakBefore w:val="0"/>
        <w:wordWrap/>
        <w:topLinePunct w:val="0"/>
        <w:bidi w:val="0"/>
        <w:spacing w:line="360" w:lineRule="auto"/>
        <w:rPr>
          <w:rFonts w:hint="eastAsia" w:ascii="仿宋" w:hAnsi="仿宋" w:eastAsia="仿宋" w:cs="仿宋"/>
          <w:color w:val="auto"/>
          <w:sz w:val="28"/>
          <w:szCs w:val="28"/>
        </w:rPr>
      </w:pPr>
    </w:p>
    <w:p w14:paraId="7DE1B505">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附件：</w:t>
      </w:r>
    </w:p>
    <w:p w14:paraId="63D563F5">
      <w:pPr>
        <w:pStyle w:val="47"/>
        <w:pageBreakBefore w:val="0"/>
        <w:wordWrap/>
        <w:topLinePunct w:val="0"/>
        <w:bidi w:val="0"/>
        <w:spacing w:line="360" w:lineRule="auto"/>
        <w:jc w:val="center"/>
        <w:rPr>
          <w:rFonts w:hint="eastAsia" w:ascii="仿宋" w:hAnsi="仿宋" w:eastAsia="仿宋" w:cs="仿宋"/>
          <w:color w:val="auto"/>
          <w:sz w:val="28"/>
          <w:szCs w:val="28"/>
        </w:rPr>
      </w:pPr>
      <w:bookmarkStart w:id="626" w:name="_Toc1817875417_WPSOffice_Level2"/>
      <w:r>
        <w:rPr>
          <w:rStyle w:val="56"/>
          <w:rFonts w:hint="eastAsia" w:ascii="仿宋" w:hAnsi="仿宋" w:eastAsia="仿宋" w:cs="仿宋"/>
          <w:color w:val="auto"/>
          <w:sz w:val="28"/>
          <w:szCs w:val="28"/>
        </w:rPr>
        <w:t>中小企业划型标准规定</w:t>
      </w:r>
      <w:bookmarkEnd w:id="626"/>
    </w:p>
    <w:p w14:paraId="7890E12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一、根据《中华人民共和国中小企业促进法》和《国务院关于进一步促进中小企业发展的若干意见》(国发〔2009〕36号)，制定本规定。</w:t>
      </w:r>
    </w:p>
    <w:p w14:paraId="3260D06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二、中小企业划分为中型、小型、微型三种类型，具体标准根据企业从业人员、营业收入、资产总额等指标，结合行业特点制定。</w:t>
      </w:r>
    </w:p>
    <w:p w14:paraId="7D971C9B">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3CF38A">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四、各行业划型标准为：</w:t>
      </w:r>
    </w:p>
    <w:p w14:paraId="69B95CC2">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（一）农、林、牧、渔业。营业收入20000万元以下的为中小微型企业。其中，营业收入500万元及以上的为中型企业，营业收入50万元及以上的为小型企业，营业收入50万元以下的为微型企业。</w:t>
      </w:r>
    </w:p>
    <w:p w14:paraId="4FA4650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AE77CB">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2AF371">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EE3078">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06E7F4">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83DA23">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AEBBAE">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4C2149C">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630F5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AE450C">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A60866">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AFD014">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229AAA">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34414D">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809D9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（十六）其他未列明行业。从业人员300人以下的为中小微型企业。其中，从业人员100人及以上的为中型企业；从业人员10人及以上的为小型企业；从业人员10人以下的为微型企业。</w:t>
      </w:r>
    </w:p>
    <w:p w14:paraId="45471A37">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五、企业类型的划分以统计部门的统计数据为依据。</w:t>
      </w:r>
    </w:p>
    <w:p w14:paraId="297595B4">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六、本规定适用于在中华人民共和国境内依法设立的各类所有制和各种组织形式的企业。个体工商户和本规定以外的行业，参照本规定进行划型。</w:t>
      </w:r>
    </w:p>
    <w:p w14:paraId="02F7D05D">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5155C898">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八、本规定由工业和信息化部、国家统计局会同有关部门根据《国民经济行业分类》修订情况和企业发展变化情况适时修订。</w:t>
      </w:r>
    </w:p>
    <w:p w14:paraId="60373C69">
      <w:pPr>
        <w:pStyle w:val="47"/>
        <w:pageBreakBefore w:val="0"/>
        <w:wordWrap/>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九、本规定由工业和信息化部、国家统计局会同有关部门负责解释。</w:t>
      </w:r>
    </w:p>
    <w:p w14:paraId="20EF0C65">
      <w:pPr>
        <w:pStyle w:val="47"/>
        <w:pageBreakBefore w:val="0"/>
        <w:wordWrap/>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十、本规定自发布之日起执行，原国家经贸委、原国家计委、财政部和国家统计局2003年颁布的《中小企业标准暂行规定》同时废止。</w:t>
      </w:r>
    </w:p>
    <w:p w14:paraId="1B012483">
      <w:pPr>
        <w:pStyle w:val="47"/>
        <w:pageBreakBefore w:val="0"/>
        <w:wordWrap/>
        <w:topLinePunct w:val="0"/>
        <w:bidi w:val="0"/>
        <w:spacing w:line="360" w:lineRule="auto"/>
        <w:rPr>
          <w:rFonts w:hint="eastAsia" w:ascii="仿宋" w:hAnsi="仿宋" w:eastAsia="仿宋" w:cs="仿宋"/>
          <w:color w:val="000000"/>
          <w:sz w:val="28"/>
          <w:szCs w:val="28"/>
        </w:rPr>
      </w:pPr>
    </w:p>
    <w:sectPr>
      <w:headerReference r:id="rId15" w:type="default"/>
      <w:footerReference r:id="rId16" w:type="default"/>
      <w:pgSz w:w="11900" w:h="16840"/>
      <w:pgMar w:top="1434" w:right="1434" w:bottom="1434" w:left="1434" w:header="851" w:footer="992"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2000000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84C8E">
    <w:pPr>
      <w:bidi w:v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5C41">
    <w:pPr>
      <w:pStyle w:val="31"/>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AF403">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0AF403">
                    <w:pPr>
                      <w:pStyle w:val="3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F737">
    <w:pPr>
      <w:bidi w:val="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0266">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480266">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F174">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7F1CE">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77F1CE">
                    <w:pPr>
                      <w:pStyle w:val="3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0629">
    <w:pPr>
      <w:pStyle w:val="31"/>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09A">
                          <w:pPr>
                            <w:pStyle w:val="3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D1309A">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9429">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91840">
                          <w:pPr>
                            <w:pStyle w:val="3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891840">
                    <w:pPr>
                      <w:pStyle w:val="3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6C00">
    <w:pPr>
      <w:spacing w:line="238" w:lineRule="auto"/>
      <w:ind w:left="842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0B06F">
                          <w:pPr>
                            <w:pStyle w:val="31"/>
                          </w:pPr>
                          <w:r>
                            <w:t xml:space="preserve">— </w:t>
                          </w:r>
                          <w:r>
                            <w:fldChar w:fldCharType="begin"/>
                          </w:r>
                          <w:r>
                            <w:instrText xml:space="preserve"> PAGE  \* MERGEFORMAT </w:instrText>
                          </w:r>
                          <w:r>
                            <w:fldChar w:fldCharType="separate"/>
                          </w:r>
                          <w:r>
                            <w:t>77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320B06F">
                    <w:pPr>
                      <w:pStyle w:val="31"/>
                    </w:pPr>
                    <w:r>
                      <w:t xml:space="preserve">— </w:t>
                    </w:r>
                    <w:r>
                      <w:fldChar w:fldCharType="begin"/>
                    </w:r>
                    <w:r>
                      <w:instrText xml:space="preserve"> PAGE  \* MERGEFORMAT </w:instrText>
                    </w:r>
                    <w:r>
                      <w:fldChar w:fldCharType="separate"/>
                    </w:r>
                    <w:r>
                      <w:t>77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43F7">
    <w:pPr>
      <w:spacing w:line="238" w:lineRule="auto"/>
      <w:ind w:left="8769"/>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C93D44">
                          <w:pPr>
                            <w:pStyle w:val="31"/>
                          </w:pPr>
                          <w:r>
                            <w:t xml:space="preserve">— </w:t>
                          </w:r>
                          <w:r>
                            <w:fldChar w:fldCharType="begin"/>
                          </w:r>
                          <w:r>
                            <w:instrText xml:space="preserve"> PAGE  \* MERGEFORMAT </w:instrText>
                          </w:r>
                          <w:r>
                            <w:fldChar w:fldCharType="separate"/>
                          </w:r>
                          <w:r>
                            <w:t>78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08C93D44">
                    <w:pPr>
                      <w:pStyle w:val="31"/>
                    </w:pPr>
                    <w:r>
                      <w:t xml:space="preserve">— </w:t>
                    </w:r>
                    <w:r>
                      <w:fldChar w:fldCharType="begin"/>
                    </w:r>
                    <w:r>
                      <w:instrText xml:space="preserve"> PAGE  \* MERGEFORMAT </w:instrText>
                    </w:r>
                    <w:r>
                      <w:fldChar w:fldCharType="separate"/>
                    </w:r>
                    <w:r>
                      <w:t>78</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8366">
    <w:pPr>
      <w:spacing w:line="238" w:lineRule="auto"/>
      <w:ind w:left="8769"/>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FF13B8">
                          <w:pPr>
                            <w:pStyle w:val="31"/>
                          </w:pPr>
                          <w:r>
                            <w:t xml:space="preserve">— </w:t>
                          </w:r>
                          <w:r>
                            <w:fldChar w:fldCharType="begin"/>
                          </w:r>
                          <w:r>
                            <w:instrText xml:space="preserve"> PAGE  \* MERGEFORMAT </w:instrText>
                          </w:r>
                          <w:r>
                            <w:fldChar w:fldCharType="separate"/>
                          </w:r>
                          <w:r>
                            <w:t>79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01FF13B8">
                    <w:pPr>
                      <w:pStyle w:val="31"/>
                    </w:pPr>
                    <w:r>
                      <w:t xml:space="preserve">— </w:t>
                    </w:r>
                    <w:r>
                      <w:fldChar w:fldCharType="begin"/>
                    </w:r>
                    <w:r>
                      <w:instrText xml:space="preserve"> PAGE  \* MERGEFORMAT </w:instrText>
                    </w:r>
                    <w:r>
                      <w:fldChar w:fldCharType="separate"/>
                    </w:r>
                    <w:r>
                      <w:t>79</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2031">
    <w:pPr>
      <w:spacing w:line="241" w:lineRule="auto"/>
      <w:ind w:left="8420"/>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A71923">
                          <w:pPr>
                            <w:pStyle w:val="31"/>
                          </w:pPr>
                          <w:r>
                            <w:t xml:space="preserve">— </w:t>
                          </w:r>
                          <w:r>
                            <w:fldChar w:fldCharType="begin"/>
                          </w:r>
                          <w:r>
                            <w:instrText xml:space="preserve"> PAGE  \* MERGEFORMAT </w:instrText>
                          </w:r>
                          <w:r>
                            <w:fldChar w:fldCharType="separate"/>
                          </w:r>
                          <w:r>
                            <w:t>80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2CA71923">
                    <w:pPr>
                      <w:pStyle w:val="31"/>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79025">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C76A">
    <w:pPr>
      <w:pStyle w:val="18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DA48">
    <w:pPr>
      <w:pStyle w:val="185"/>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D563">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5068F"/>
    <w:multiLevelType w:val="singleLevel"/>
    <w:tmpl w:val="F535068F"/>
    <w:lvl w:ilvl="0" w:tentative="0">
      <w:start w:val="6"/>
      <w:numFmt w:val="chineseCounting"/>
      <w:suff w:val="space"/>
      <w:lvlText w:val="第%1章"/>
      <w:lvlJc w:val="left"/>
      <w:rPr>
        <w:rFonts w:hint="eastAsia"/>
      </w:rPr>
    </w:lvl>
  </w:abstractNum>
  <w:abstractNum w:abstractNumId="1">
    <w:nsid w:val="3153D635"/>
    <w:multiLevelType w:val="singleLevel"/>
    <w:tmpl w:val="3153D635"/>
    <w:lvl w:ilvl="0" w:tentative="0">
      <w:start w:val="2"/>
      <w:numFmt w:val="decimal"/>
      <w:suff w:val="nothing"/>
      <w:lvlText w:val="（%1）"/>
      <w:lvlJc w:val="left"/>
      <w:pPr>
        <w:ind w:left="560" w:firstLine="0"/>
      </w:pPr>
    </w:lvl>
  </w:abstractNum>
  <w:abstractNum w:abstractNumId="2">
    <w:nsid w:val="46BDEA40"/>
    <w:multiLevelType w:val="singleLevel"/>
    <w:tmpl w:val="46BDEA40"/>
    <w:lvl w:ilvl="0" w:tentative="0">
      <w:start w:val="6"/>
      <w:numFmt w:val="chineseCounting"/>
      <w:suff w:val="nothing"/>
      <w:lvlText w:val="%1、"/>
      <w:lvlJc w:val="left"/>
      <w:rPr>
        <w:rFonts w:hint="eastAsia"/>
      </w:rPr>
    </w:lvl>
  </w:abstractNum>
  <w:abstractNum w:abstractNumId="3">
    <w:nsid w:val="58BEF333"/>
    <w:multiLevelType w:val="singleLevel"/>
    <w:tmpl w:val="58BEF333"/>
    <w:lvl w:ilvl="0" w:tentative="0">
      <w:start w:val="1"/>
      <w:numFmt w:val="chineseCounting"/>
      <w:suff w:val="nothing"/>
      <w:lvlText w:val="%1、"/>
      <w:lvlJc w:val="left"/>
      <w:rPr>
        <w:rFonts w:cs="Times New Roman"/>
      </w:rPr>
    </w:lvl>
  </w:abstractNum>
  <w:abstractNum w:abstractNumId="4">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6E9A9296"/>
    <w:multiLevelType w:val="singleLevel"/>
    <w:tmpl w:val="6E9A9296"/>
    <w:lvl w:ilvl="0" w:tentative="0">
      <w:start w:val="2"/>
      <w:numFmt w:val="decimal"/>
      <w:lvlText w:val="%1."/>
      <w:lvlJc w:val="left"/>
      <w:pPr>
        <w:tabs>
          <w:tab w:val="left" w:pos="312"/>
        </w:tabs>
      </w:pPr>
    </w:lvl>
  </w:abstractNum>
  <w:abstractNum w:abstractNumId="6">
    <w:nsid w:val="7F7BE2C3"/>
    <w:multiLevelType w:val="singleLevel"/>
    <w:tmpl w:val="7F7BE2C3"/>
    <w:lvl w:ilvl="0" w:tentative="0">
      <w:start w:val="1"/>
      <w:numFmt w:val="chineseCounting"/>
      <w:suff w:val="space"/>
      <w:lvlText w:val="第%1章"/>
      <w:lvlJc w:val="left"/>
      <w:rPr>
        <w:rFonts w:hint="eastAsia"/>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NjQzNjNkZWUxYWY4MGFhY2ZmZGZjNTgxOGY3MzU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77205"/>
    <w:rsid w:val="00080242"/>
    <w:rsid w:val="00083D5E"/>
    <w:rsid w:val="00086D49"/>
    <w:rsid w:val="000922F8"/>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0226"/>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7E62"/>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412B"/>
    <w:rsid w:val="00216A94"/>
    <w:rsid w:val="00217F9F"/>
    <w:rsid w:val="002206B7"/>
    <w:rsid w:val="002237BC"/>
    <w:rsid w:val="00223B9E"/>
    <w:rsid w:val="002258F0"/>
    <w:rsid w:val="00230A77"/>
    <w:rsid w:val="00232D71"/>
    <w:rsid w:val="00234100"/>
    <w:rsid w:val="00236352"/>
    <w:rsid w:val="00245934"/>
    <w:rsid w:val="00246F78"/>
    <w:rsid w:val="00247D20"/>
    <w:rsid w:val="00250D8F"/>
    <w:rsid w:val="002560AA"/>
    <w:rsid w:val="00263DD7"/>
    <w:rsid w:val="00267021"/>
    <w:rsid w:val="00270F4D"/>
    <w:rsid w:val="00273B04"/>
    <w:rsid w:val="002740BF"/>
    <w:rsid w:val="00280746"/>
    <w:rsid w:val="002807C8"/>
    <w:rsid w:val="00282055"/>
    <w:rsid w:val="00296707"/>
    <w:rsid w:val="002A05BB"/>
    <w:rsid w:val="002A13CE"/>
    <w:rsid w:val="002A52BA"/>
    <w:rsid w:val="002A5A62"/>
    <w:rsid w:val="002B0422"/>
    <w:rsid w:val="002B069D"/>
    <w:rsid w:val="002B216E"/>
    <w:rsid w:val="002B59F3"/>
    <w:rsid w:val="002B6FB9"/>
    <w:rsid w:val="002B7307"/>
    <w:rsid w:val="002C1E69"/>
    <w:rsid w:val="002C7317"/>
    <w:rsid w:val="002D1B9B"/>
    <w:rsid w:val="002E6413"/>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25A9"/>
    <w:rsid w:val="004B5648"/>
    <w:rsid w:val="004B7B6A"/>
    <w:rsid w:val="004C1A1D"/>
    <w:rsid w:val="004C32E9"/>
    <w:rsid w:val="004C47F1"/>
    <w:rsid w:val="004C58BA"/>
    <w:rsid w:val="004C693F"/>
    <w:rsid w:val="004D27C7"/>
    <w:rsid w:val="004E5E99"/>
    <w:rsid w:val="004F291E"/>
    <w:rsid w:val="004F480E"/>
    <w:rsid w:val="004F5D3B"/>
    <w:rsid w:val="004F64EF"/>
    <w:rsid w:val="00501CFD"/>
    <w:rsid w:val="00505367"/>
    <w:rsid w:val="0050673E"/>
    <w:rsid w:val="00506DA2"/>
    <w:rsid w:val="005138EF"/>
    <w:rsid w:val="005160F8"/>
    <w:rsid w:val="00523698"/>
    <w:rsid w:val="00525434"/>
    <w:rsid w:val="00526B78"/>
    <w:rsid w:val="00527EC5"/>
    <w:rsid w:val="005317A2"/>
    <w:rsid w:val="00535DE9"/>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724F"/>
    <w:rsid w:val="00640D49"/>
    <w:rsid w:val="00643DE3"/>
    <w:rsid w:val="0064505A"/>
    <w:rsid w:val="006458F4"/>
    <w:rsid w:val="00653AE2"/>
    <w:rsid w:val="006566A7"/>
    <w:rsid w:val="00663245"/>
    <w:rsid w:val="00677215"/>
    <w:rsid w:val="00680BB7"/>
    <w:rsid w:val="0068270E"/>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5A35"/>
    <w:rsid w:val="008B6839"/>
    <w:rsid w:val="008B6D78"/>
    <w:rsid w:val="008C63A7"/>
    <w:rsid w:val="008D0AE3"/>
    <w:rsid w:val="008E6272"/>
    <w:rsid w:val="008F222A"/>
    <w:rsid w:val="0091007D"/>
    <w:rsid w:val="00912744"/>
    <w:rsid w:val="00913DC4"/>
    <w:rsid w:val="00914179"/>
    <w:rsid w:val="00916456"/>
    <w:rsid w:val="00917970"/>
    <w:rsid w:val="00921183"/>
    <w:rsid w:val="00921C9D"/>
    <w:rsid w:val="00923D5B"/>
    <w:rsid w:val="0093438F"/>
    <w:rsid w:val="009350E8"/>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04941"/>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B55E6"/>
    <w:rsid w:val="00BC1581"/>
    <w:rsid w:val="00BC757B"/>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8D4"/>
    <w:rsid w:val="00C52BB8"/>
    <w:rsid w:val="00C53D3B"/>
    <w:rsid w:val="00C62A91"/>
    <w:rsid w:val="00C62E24"/>
    <w:rsid w:val="00C67CC4"/>
    <w:rsid w:val="00C71306"/>
    <w:rsid w:val="00C72E01"/>
    <w:rsid w:val="00C83E23"/>
    <w:rsid w:val="00C86B65"/>
    <w:rsid w:val="00C92B0C"/>
    <w:rsid w:val="00CA3C79"/>
    <w:rsid w:val="00CA6AF8"/>
    <w:rsid w:val="00CB0DFF"/>
    <w:rsid w:val="00CB1465"/>
    <w:rsid w:val="00CB360C"/>
    <w:rsid w:val="00CB7E87"/>
    <w:rsid w:val="00CC07FD"/>
    <w:rsid w:val="00CD0BC1"/>
    <w:rsid w:val="00CD4FD7"/>
    <w:rsid w:val="00CE0D56"/>
    <w:rsid w:val="00CE767E"/>
    <w:rsid w:val="00CF0993"/>
    <w:rsid w:val="00CF2378"/>
    <w:rsid w:val="00D004C5"/>
    <w:rsid w:val="00D007C0"/>
    <w:rsid w:val="00D066BB"/>
    <w:rsid w:val="00D143BF"/>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A1491"/>
    <w:rsid w:val="00DA1F32"/>
    <w:rsid w:val="00DA3EA5"/>
    <w:rsid w:val="00DA5973"/>
    <w:rsid w:val="00DB0C31"/>
    <w:rsid w:val="00DB20F7"/>
    <w:rsid w:val="00DB2943"/>
    <w:rsid w:val="00DB76C1"/>
    <w:rsid w:val="00DC3330"/>
    <w:rsid w:val="00DC3360"/>
    <w:rsid w:val="00DC58DA"/>
    <w:rsid w:val="00DD1033"/>
    <w:rsid w:val="00DD398A"/>
    <w:rsid w:val="00DD426D"/>
    <w:rsid w:val="00DD76C1"/>
    <w:rsid w:val="00DE01E0"/>
    <w:rsid w:val="00DE21A3"/>
    <w:rsid w:val="00DF029D"/>
    <w:rsid w:val="00DF08A9"/>
    <w:rsid w:val="00DF1720"/>
    <w:rsid w:val="00DF24B6"/>
    <w:rsid w:val="00DF7A5A"/>
    <w:rsid w:val="00E0413F"/>
    <w:rsid w:val="00E06D34"/>
    <w:rsid w:val="00E0770D"/>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5FC2"/>
    <w:rsid w:val="00F775A2"/>
    <w:rsid w:val="00F83D40"/>
    <w:rsid w:val="00F86757"/>
    <w:rsid w:val="00F8777B"/>
    <w:rsid w:val="00F909FF"/>
    <w:rsid w:val="00F90E6B"/>
    <w:rsid w:val="00FA0241"/>
    <w:rsid w:val="00FA164F"/>
    <w:rsid w:val="00FA2437"/>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1942"/>
    <w:rsid w:val="00FE216B"/>
    <w:rsid w:val="00FE7F01"/>
    <w:rsid w:val="00FF0932"/>
    <w:rsid w:val="00FF151A"/>
    <w:rsid w:val="00FF568F"/>
    <w:rsid w:val="0100553C"/>
    <w:rsid w:val="010158D6"/>
    <w:rsid w:val="01064C9A"/>
    <w:rsid w:val="010C47B7"/>
    <w:rsid w:val="010F3B4F"/>
    <w:rsid w:val="0112363F"/>
    <w:rsid w:val="01156698"/>
    <w:rsid w:val="01193185"/>
    <w:rsid w:val="011A4D50"/>
    <w:rsid w:val="01206530"/>
    <w:rsid w:val="0127533C"/>
    <w:rsid w:val="01315D00"/>
    <w:rsid w:val="013435B5"/>
    <w:rsid w:val="0136557F"/>
    <w:rsid w:val="0155241A"/>
    <w:rsid w:val="01593B8E"/>
    <w:rsid w:val="017275E6"/>
    <w:rsid w:val="018A58CB"/>
    <w:rsid w:val="018F216A"/>
    <w:rsid w:val="019559E2"/>
    <w:rsid w:val="019B3634"/>
    <w:rsid w:val="01AC6828"/>
    <w:rsid w:val="01AE3368"/>
    <w:rsid w:val="01BD17FD"/>
    <w:rsid w:val="01C043F1"/>
    <w:rsid w:val="01C725F7"/>
    <w:rsid w:val="01D775B9"/>
    <w:rsid w:val="01E7687A"/>
    <w:rsid w:val="01EB45BC"/>
    <w:rsid w:val="01EE19B6"/>
    <w:rsid w:val="01F05F54"/>
    <w:rsid w:val="01F66ABD"/>
    <w:rsid w:val="0204742C"/>
    <w:rsid w:val="02081FF8"/>
    <w:rsid w:val="02106709"/>
    <w:rsid w:val="0216715F"/>
    <w:rsid w:val="02176416"/>
    <w:rsid w:val="02242CC3"/>
    <w:rsid w:val="0224362A"/>
    <w:rsid w:val="022655F4"/>
    <w:rsid w:val="022A6766"/>
    <w:rsid w:val="02385327"/>
    <w:rsid w:val="023F0464"/>
    <w:rsid w:val="023F5C16"/>
    <w:rsid w:val="02497534"/>
    <w:rsid w:val="025E4CA2"/>
    <w:rsid w:val="02624152"/>
    <w:rsid w:val="027738A5"/>
    <w:rsid w:val="02796A96"/>
    <w:rsid w:val="027A5940"/>
    <w:rsid w:val="027C5C61"/>
    <w:rsid w:val="02895B83"/>
    <w:rsid w:val="02A66735"/>
    <w:rsid w:val="02AD361F"/>
    <w:rsid w:val="02AD5757"/>
    <w:rsid w:val="02B30F4C"/>
    <w:rsid w:val="02B532B3"/>
    <w:rsid w:val="02B86400"/>
    <w:rsid w:val="02BD0629"/>
    <w:rsid w:val="02C40969"/>
    <w:rsid w:val="02C600A3"/>
    <w:rsid w:val="02D36DFE"/>
    <w:rsid w:val="02D44AC6"/>
    <w:rsid w:val="02DC2156"/>
    <w:rsid w:val="02DC3F04"/>
    <w:rsid w:val="02DF39F5"/>
    <w:rsid w:val="02E84657"/>
    <w:rsid w:val="02EA2B78"/>
    <w:rsid w:val="02F76749"/>
    <w:rsid w:val="03060F81"/>
    <w:rsid w:val="03100052"/>
    <w:rsid w:val="0317318F"/>
    <w:rsid w:val="031F665B"/>
    <w:rsid w:val="033C0E47"/>
    <w:rsid w:val="03506D4D"/>
    <w:rsid w:val="035148F2"/>
    <w:rsid w:val="03546191"/>
    <w:rsid w:val="03575C81"/>
    <w:rsid w:val="03577A2F"/>
    <w:rsid w:val="03667C72"/>
    <w:rsid w:val="03685798"/>
    <w:rsid w:val="036C34DA"/>
    <w:rsid w:val="03804398"/>
    <w:rsid w:val="03885E3A"/>
    <w:rsid w:val="038A3960"/>
    <w:rsid w:val="03A61B23"/>
    <w:rsid w:val="03C03826"/>
    <w:rsid w:val="03C5243A"/>
    <w:rsid w:val="03C87DCF"/>
    <w:rsid w:val="03CE5F43"/>
    <w:rsid w:val="03DA2A74"/>
    <w:rsid w:val="03DB41BC"/>
    <w:rsid w:val="03E05C76"/>
    <w:rsid w:val="03E07A24"/>
    <w:rsid w:val="03E20BAC"/>
    <w:rsid w:val="03E373E7"/>
    <w:rsid w:val="03F31CB7"/>
    <w:rsid w:val="04074FB1"/>
    <w:rsid w:val="040E6340"/>
    <w:rsid w:val="0410030A"/>
    <w:rsid w:val="04112D60"/>
    <w:rsid w:val="0414147C"/>
    <w:rsid w:val="041F2294"/>
    <w:rsid w:val="04206237"/>
    <w:rsid w:val="0430446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DC3081"/>
    <w:rsid w:val="04DE7BED"/>
    <w:rsid w:val="04EB4302"/>
    <w:rsid w:val="04EB48D3"/>
    <w:rsid w:val="04F80289"/>
    <w:rsid w:val="04FB71D2"/>
    <w:rsid w:val="04FD0162"/>
    <w:rsid w:val="050447EE"/>
    <w:rsid w:val="05080FE1"/>
    <w:rsid w:val="050F05C1"/>
    <w:rsid w:val="0517381B"/>
    <w:rsid w:val="052027CE"/>
    <w:rsid w:val="05204DDB"/>
    <w:rsid w:val="05216546"/>
    <w:rsid w:val="052E6336"/>
    <w:rsid w:val="0530678A"/>
    <w:rsid w:val="053E4A03"/>
    <w:rsid w:val="054412C6"/>
    <w:rsid w:val="05483AD3"/>
    <w:rsid w:val="055404AA"/>
    <w:rsid w:val="05663F59"/>
    <w:rsid w:val="057743B8"/>
    <w:rsid w:val="05962D81"/>
    <w:rsid w:val="05A76A4C"/>
    <w:rsid w:val="05C173E2"/>
    <w:rsid w:val="05C70E9C"/>
    <w:rsid w:val="05CA44E8"/>
    <w:rsid w:val="05CC64B2"/>
    <w:rsid w:val="05D84E57"/>
    <w:rsid w:val="05DB41A7"/>
    <w:rsid w:val="05EF3192"/>
    <w:rsid w:val="05FB3F65"/>
    <w:rsid w:val="05FB4360"/>
    <w:rsid w:val="060743F1"/>
    <w:rsid w:val="06093262"/>
    <w:rsid w:val="060C4DD3"/>
    <w:rsid w:val="061B11E8"/>
    <w:rsid w:val="06287E53"/>
    <w:rsid w:val="062A4F87"/>
    <w:rsid w:val="062C6F51"/>
    <w:rsid w:val="063B5518"/>
    <w:rsid w:val="06456265"/>
    <w:rsid w:val="06473D8B"/>
    <w:rsid w:val="06500E91"/>
    <w:rsid w:val="06581AF4"/>
    <w:rsid w:val="069025ED"/>
    <w:rsid w:val="0691471E"/>
    <w:rsid w:val="06AB256C"/>
    <w:rsid w:val="06B238FA"/>
    <w:rsid w:val="06B72BC7"/>
    <w:rsid w:val="06C61131"/>
    <w:rsid w:val="06D23F27"/>
    <w:rsid w:val="06D575E9"/>
    <w:rsid w:val="06DE46EF"/>
    <w:rsid w:val="06E7C2D2"/>
    <w:rsid w:val="06ED6FA7"/>
    <w:rsid w:val="06EE0437"/>
    <w:rsid w:val="06F35CC1"/>
    <w:rsid w:val="06F37A6F"/>
    <w:rsid w:val="07027CB2"/>
    <w:rsid w:val="07097292"/>
    <w:rsid w:val="070F3EAA"/>
    <w:rsid w:val="07124399"/>
    <w:rsid w:val="07157ACF"/>
    <w:rsid w:val="071D4AEC"/>
    <w:rsid w:val="071F68B2"/>
    <w:rsid w:val="072B0FB7"/>
    <w:rsid w:val="072C758B"/>
    <w:rsid w:val="073562D9"/>
    <w:rsid w:val="074D224E"/>
    <w:rsid w:val="075274FC"/>
    <w:rsid w:val="075971C8"/>
    <w:rsid w:val="07630750"/>
    <w:rsid w:val="0764271A"/>
    <w:rsid w:val="076A5F83"/>
    <w:rsid w:val="076FAA59"/>
    <w:rsid w:val="077566D6"/>
    <w:rsid w:val="07794418"/>
    <w:rsid w:val="077F1302"/>
    <w:rsid w:val="07814AA8"/>
    <w:rsid w:val="07837045"/>
    <w:rsid w:val="079C0106"/>
    <w:rsid w:val="07A442D4"/>
    <w:rsid w:val="07AB5A00"/>
    <w:rsid w:val="07B216D8"/>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2816F0"/>
    <w:rsid w:val="082D632F"/>
    <w:rsid w:val="084C5688"/>
    <w:rsid w:val="085E00A1"/>
    <w:rsid w:val="085F761F"/>
    <w:rsid w:val="086956BA"/>
    <w:rsid w:val="086A00E6"/>
    <w:rsid w:val="087D1CE6"/>
    <w:rsid w:val="08833439"/>
    <w:rsid w:val="08892439"/>
    <w:rsid w:val="08986B20"/>
    <w:rsid w:val="08B33959"/>
    <w:rsid w:val="08B4560F"/>
    <w:rsid w:val="08B5322E"/>
    <w:rsid w:val="08BB636A"/>
    <w:rsid w:val="08C50AF1"/>
    <w:rsid w:val="08CC4A1B"/>
    <w:rsid w:val="08CE0793"/>
    <w:rsid w:val="08D31906"/>
    <w:rsid w:val="08E35698"/>
    <w:rsid w:val="08E93645"/>
    <w:rsid w:val="08F17FDE"/>
    <w:rsid w:val="08FF094D"/>
    <w:rsid w:val="08FF6B9F"/>
    <w:rsid w:val="090C4E18"/>
    <w:rsid w:val="09102B5A"/>
    <w:rsid w:val="091423DD"/>
    <w:rsid w:val="09173EE8"/>
    <w:rsid w:val="091972B0"/>
    <w:rsid w:val="091F4B4B"/>
    <w:rsid w:val="09226386"/>
    <w:rsid w:val="09271C52"/>
    <w:rsid w:val="092923A4"/>
    <w:rsid w:val="092C1016"/>
    <w:rsid w:val="092E1232"/>
    <w:rsid w:val="09336848"/>
    <w:rsid w:val="093E2CBE"/>
    <w:rsid w:val="093E76C7"/>
    <w:rsid w:val="093F343F"/>
    <w:rsid w:val="09412D13"/>
    <w:rsid w:val="09475E50"/>
    <w:rsid w:val="09511DA9"/>
    <w:rsid w:val="09572F58"/>
    <w:rsid w:val="09581E0B"/>
    <w:rsid w:val="0960344D"/>
    <w:rsid w:val="096802A0"/>
    <w:rsid w:val="09691028"/>
    <w:rsid w:val="096B3BF3"/>
    <w:rsid w:val="0970184A"/>
    <w:rsid w:val="09736C45"/>
    <w:rsid w:val="0973759F"/>
    <w:rsid w:val="097536D0"/>
    <w:rsid w:val="099B2D17"/>
    <w:rsid w:val="099E1F14"/>
    <w:rsid w:val="09A83AD0"/>
    <w:rsid w:val="09AA4D5C"/>
    <w:rsid w:val="09AA7B54"/>
    <w:rsid w:val="09B47989"/>
    <w:rsid w:val="09BB7DD7"/>
    <w:rsid w:val="09C15C02"/>
    <w:rsid w:val="09C676BC"/>
    <w:rsid w:val="09CD45A7"/>
    <w:rsid w:val="09CF6571"/>
    <w:rsid w:val="09D26108"/>
    <w:rsid w:val="09DB3168"/>
    <w:rsid w:val="09F63AFE"/>
    <w:rsid w:val="09FD633D"/>
    <w:rsid w:val="09FD66D9"/>
    <w:rsid w:val="0A0A1357"/>
    <w:rsid w:val="0A0A75A9"/>
    <w:rsid w:val="0A1B3564"/>
    <w:rsid w:val="0A1B5312"/>
    <w:rsid w:val="0A314B36"/>
    <w:rsid w:val="0A4427FB"/>
    <w:rsid w:val="0A4A209B"/>
    <w:rsid w:val="0A4F6B43"/>
    <w:rsid w:val="0A4F76B2"/>
    <w:rsid w:val="0A53782A"/>
    <w:rsid w:val="0A540824"/>
    <w:rsid w:val="0A56459C"/>
    <w:rsid w:val="0A5677D0"/>
    <w:rsid w:val="0A59408D"/>
    <w:rsid w:val="0A625403"/>
    <w:rsid w:val="0A6273E5"/>
    <w:rsid w:val="0A71587A"/>
    <w:rsid w:val="0A726EFC"/>
    <w:rsid w:val="0A747118"/>
    <w:rsid w:val="0A7669ED"/>
    <w:rsid w:val="0A7705F9"/>
    <w:rsid w:val="0A7A4013"/>
    <w:rsid w:val="0A825391"/>
    <w:rsid w:val="0A9926DB"/>
    <w:rsid w:val="0A9E5F43"/>
    <w:rsid w:val="0AAD02CE"/>
    <w:rsid w:val="0AB91C4C"/>
    <w:rsid w:val="0ABB08A3"/>
    <w:rsid w:val="0ABD7054"/>
    <w:rsid w:val="0AC27C6A"/>
    <w:rsid w:val="0AC41E4E"/>
    <w:rsid w:val="0ACA278E"/>
    <w:rsid w:val="0ACE7E1A"/>
    <w:rsid w:val="0ACF434F"/>
    <w:rsid w:val="0AD00EBD"/>
    <w:rsid w:val="0AD11B2D"/>
    <w:rsid w:val="0AD57BB7"/>
    <w:rsid w:val="0AE85B89"/>
    <w:rsid w:val="0AF53DB5"/>
    <w:rsid w:val="0AF777D1"/>
    <w:rsid w:val="0AFC96EE"/>
    <w:rsid w:val="0B034D18"/>
    <w:rsid w:val="0B05139F"/>
    <w:rsid w:val="0B1A3A0F"/>
    <w:rsid w:val="0B1F7084"/>
    <w:rsid w:val="0B217619"/>
    <w:rsid w:val="0B24468A"/>
    <w:rsid w:val="0B2D5B3C"/>
    <w:rsid w:val="0B372620"/>
    <w:rsid w:val="0B3A2110"/>
    <w:rsid w:val="0B3F3282"/>
    <w:rsid w:val="0B48482D"/>
    <w:rsid w:val="0B4D1E43"/>
    <w:rsid w:val="0B4E1717"/>
    <w:rsid w:val="0B505490"/>
    <w:rsid w:val="0B534F80"/>
    <w:rsid w:val="0B5D195B"/>
    <w:rsid w:val="0B5F0FE5"/>
    <w:rsid w:val="0B6131F9"/>
    <w:rsid w:val="0B6251C3"/>
    <w:rsid w:val="0B786794"/>
    <w:rsid w:val="0B801A3F"/>
    <w:rsid w:val="0B844339"/>
    <w:rsid w:val="0B8C27E0"/>
    <w:rsid w:val="0B903ADE"/>
    <w:rsid w:val="0B952446"/>
    <w:rsid w:val="0B97475E"/>
    <w:rsid w:val="0BA27BE5"/>
    <w:rsid w:val="0BA63302"/>
    <w:rsid w:val="0BAB0918"/>
    <w:rsid w:val="0BB579E9"/>
    <w:rsid w:val="0BBFB1C5"/>
    <w:rsid w:val="0BC11EE9"/>
    <w:rsid w:val="0BD07432"/>
    <w:rsid w:val="0BD95485"/>
    <w:rsid w:val="0BE1258C"/>
    <w:rsid w:val="0BE36304"/>
    <w:rsid w:val="0BE8391A"/>
    <w:rsid w:val="0BE86D4E"/>
    <w:rsid w:val="0C1558EC"/>
    <w:rsid w:val="0C1B311F"/>
    <w:rsid w:val="0C2C5C40"/>
    <w:rsid w:val="0C36717B"/>
    <w:rsid w:val="0C452F2C"/>
    <w:rsid w:val="0C460641"/>
    <w:rsid w:val="0C48541E"/>
    <w:rsid w:val="0C497F29"/>
    <w:rsid w:val="0C57284E"/>
    <w:rsid w:val="0C6112A5"/>
    <w:rsid w:val="0C6271A8"/>
    <w:rsid w:val="0C6A2581"/>
    <w:rsid w:val="0C75623D"/>
    <w:rsid w:val="0C7C4062"/>
    <w:rsid w:val="0C7C409E"/>
    <w:rsid w:val="0C886EAB"/>
    <w:rsid w:val="0CAA68DE"/>
    <w:rsid w:val="0CB3147A"/>
    <w:rsid w:val="0CBA3508"/>
    <w:rsid w:val="0CBE28CD"/>
    <w:rsid w:val="0CC07B24"/>
    <w:rsid w:val="0CD67C16"/>
    <w:rsid w:val="0CD8573D"/>
    <w:rsid w:val="0CD93263"/>
    <w:rsid w:val="0CE560AB"/>
    <w:rsid w:val="0CE57E5A"/>
    <w:rsid w:val="0CE95B9C"/>
    <w:rsid w:val="0CE9794A"/>
    <w:rsid w:val="0CEE1795"/>
    <w:rsid w:val="0CF32F00"/>
    <w:rsid w:val="0CF44970"/>
    <w:rsid w:val="0CF602B9"/>
    <w:rsid w:val="0CFC588E"/>
    <w:rsid w:val="0CFE6269"/>
    <w:rsid w:val="0D0C188A"/>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BA7538"/>
    <w:rsid w:val="0DD00B0A"/>
    <w:rsid w:val="0DDA1988"/>
    <w:rsid w:val="0DE10621"/>
    <w:rsid w:val="0DED16BC"/>
    <w:rsid w:val="0DF465A6"/>
    <w:rsid w:val="0DFD060A"/>
    <w:rsid w:val="0DFE7425"/>
    <w:rsid w:val="0E06452B"/>
    <w:rsid w:val="0E1C7FA0"/>
    <w:rsid w:val="0E1F1455"/>
    <w:rsid w:val="0E2F75DE"/>
    <w:rsid w:val="0E325320"/>
    <w:rsid w:val="0E357D86"/>
    <w:rsid w:val="0E383AA8"/>
    <w:rsid w:val="0E3E10C3"/>
    <w:rsid w:val="0E54415D"/>
    <w:rsid w:val="0E59465B"/>
    <w:rsid w:val="0E5A59BA"/>
    <w:rsid w:val="0E67321C"/>
    <w:rsid w:val="0E6A4ABA"/>
    <w:rsid w:val="0E770F85"/>
    <w:rsid w:val="0E8004E8"/>
    <w:rsid w:val="0E820056"/>
    <w:rsid w:val="0E8F2AD1"/>
    <w:rsid w:val="0E9953A0"/>
    <w:rsid w:val="0E9E4764"/>
    <w:rsid w:val="0E9F3E75"/>
    <w:rsid w:val="0EAD49A7"/>
    <w:rsid w:val="0EBE5C1F"/>
    <w:rsid w:val="0ECA37AB"/>
    <w:rsid w:val="0ECF077F"/>
    <w:rsid w:val="0EDB32C2"/>
    <w:rsid w:val="0EDC7FE2"/>
    <w:rsid w:val="0EE21728"/>
    <w:rsid w:val="0EE52393"/>
    <w:rsid w:val="0EF66370"/>
    <w:rsid w:val="0F0C0596"/>
    <w:rsid w:val="0F1467D4"/>
    <w:rsid w:val="0F1477D9"/>
    <w:rsid w:val="0F184516"/>
    <w:rsid w:val="0F1D7D7F"/>
    <w:rsid w:val="0F362BEE"/>
    <w:rsid w:val="0F384BB8"/>
    <w:rsid w:val="0F403A6D"/>
    <w:rsid w:val="0F476BAA"/>
    <w:rsid w:val="0F477537"/>
    <w:rsid w:val="0F4C5F6E"/>
    <w:rsid w:val="0F6459AD"/>
    <w:rsid w:val="0F696B20"/>
    <w:rsid w:val="0F6C5013"/>
    <w:rsid w:val="0F7F04E1"/>
    <w:rsid w:val="0F8D12BE"/>
    <w:rsid w:val="0F8E2A2A"/>
    <w:rsid w:val="0F8E47D8"/>
    <w:rsid w:val="0F9242C9"/>
    <w:rsid w:val="0F96368D"/>
    <w:rsid w:val="0F983394"/>
    <w:rsid w:val="0FA364D6"/>
    <w:rsid w:val="0FA620EE"/>
    <w:rsid w:val="0FAD27A1"/>
    <w:rsid w:val="0FB57FB7"/>
    <w:rsid w:val="0FBA737B"/>
    <w:rsid w:val="0FBD5E71"/>
    <w:rsid w:val="0FBE3924"/>
    <w:rsid w:val="0FC404B7"/>
    <w:rsid w:val="0FC621C4"/>
    <w:rsid w:val="0FCF4BD5"/>
    <w:rsid w:val="0FD52407"/>
    <w:rsid w:val="0FDC3796"/>
    <w:rsid w:val="0FE05E95"/>
    <w:rsid w:val="0FE07842"/>
    <w:rsid w:val="0FE16FFE"/>
    <w:rsid w:val="0FE4264A"/>
    <w:rsid w:val="0FED7751"/>
    <w:rsid w:val="0FEE5277"/>
    <w:rsid w:val="0FFD240A"/>
    <w:rsid w:val="0FFE370C"/>
    <w:rsid w:val="10036F74"/>
    <w:rsid w:val="10093E5F"/>
    <w:rsid w:val="100B7BD7"/>
    <w:rsid w:val="10141182"/>
    <w:rsid w:val="1025513D"/>
    <w:rsid w:val="10264A11"/>
    <w:rsid w:val="1030349B"/>
    <w:rsid w:val="103261EC"/>
    <w:rsid w:val="1033383A"/>
    <w:rsid w:val="10390BE8"/>
    <w:rsid w:val="10545A22"/>
    <w:rsid w:val="10580021"/>
    <w:rsid w:val="10685029"/>
    <w:rsid w:val="106F63B8"/>
    <w:rsid w:val="10923E54"/>
    <w:rsid w:val="10967DE9"/>
    <w:rsid w:val="109776BD"/>
    <w:rsid w:val="109C7173"/>
    <w:rsid w:val="10A44501"/>
    <w:rsid w:val="10A60810"/>
    <w:rsid w:val="10A87B1C"/>
    <w:rsid w:val="10AA3894"/>
    <w:rsid w:val="10B5192F"/>
    <w:rsid w:val="10B85FB1"/>
    <w:rsid w:val="10C5422A"/>
    <w:rsid w:val="10CA5CE4"/>
    <w:rsid w:val="10CC7FB5"/>
    <w:rsid w:val="10E77FBE"/>
    <w:rsid w:val="10F60887"/>
    <w:rsid w:val="10F90377"/>
    <w:rsid w:val="1125116C"/>
    <w:rsid w:val="11273919"/>
    <w:rsid w:val="11274EE5"/>
    <w:rsid w:val="112E0021"/>
    <w:rsid w:val="112F5B47"/>
    <w:rsid w:val="1131366D"/>
    <w:rsid w:val="11334496"/>
    <w:rsid w:val="11370089"/>
    <w:rsid w:val="113C3A20"/>
    <w:rsid w:val="11442736"/>
    <w:rsid w:val="11494E5B"/>
    <w:rsid w:val="114A0BD3"/>
    <w:rsid w:val="11502559"/>
    <w:rsid w:val="11553BDD"/>
    <w:rsid w:val="115769B5"/>
    <w:rsid w:val="115B06EA"/>
    <w:rsid w:val="117E738F"/>
    <w:rsid w:val="1182211B"/>
    <w:rsid w:val="11867E5D"/>
    <w:rsid w:val="11967974"/>
    <w:rsid w:val="11B30526"/>
    <w:rsid w:val="11B36778"/>
    <w:rsid w:val="11B40530"/>
    <w:rsid w:val="11B45ED9"/>
    <w:rsid w:val="11B62F80"/>
    <w:rsid w:val="11BD71AA"/>
    <w:rsid w:val="11BD75F7"/>
    <w:rsid w:val="11C97F1A"/>
    <w:rsid w:val="11DF36A1"/>
    <w:rsid w:val="11E35AA0"/>
    <w:rsid w:val="11E9219A"/>
    <w:rsid w:val="11FE3E97"/>
    <w:rsid w:val="120668A8"/>
    <w:rsid w:val="120E2CCF"/>
    <w:rsid w:val="12152F8F"/>
    <w:rsid w:val="122554C6"/>
    <w:rsid w:val="12323B41"/>
    <w:rsid w:val="12411FD6"/>
    <w:rsid w:val="12437AFC"/>
    <w:rsid w:val="12541D09"/>
    <w:rsid w:val="12614426"/>
    <w:rsid w:val="126227B4"/>
    <w:rsid w:val="126C7543"/>
    <w:rsid w:val="12745F08"/>
    <w:rsid w:val="12754F46"/>
    <w:rsid w:val="12760D4F"/>
    <w:rsid w:val="12847AFA"/>
    <w:rsid w:val="12863E8D"/>
    <w:rsid w:val="128E407F"/>
    <w:rsid w:val="12A85BB1"/>
    <w:rsid w:val="12AA1929"/>
    <w:rsid w:val="12AF1FE4"/>
    <w:rsid w:val="12B97DBE"/>
    <w:rsid w:val="12BB2799"/>
    <w:rsid w:val="12BB3B36"/>
    <w:rsid w:val="12C27E9C"/>
    <w:rsid w:val="12C351C4"/>
    <w:rsid w:val="12D2317B"/>
    <w:rsid w:val="12DB0594"/>
    <w:rsid w:val="12DB7D35"/>
    <w:rsid w:val="12DE7825"/>
    <w:rsid w:val="12E55FEE"/>
    <w:rsid w:val="12F15485"/>
    <w:rsid w:val="12F31522"/>
    <w:rsid w:val="1300779B"/>
    <w:rsid w:val="13050CDE"/>
    <w:rsid w:val="13082AF4"/>
    <w:rsid w:val="130B22DE"/>
    <w:rsid w:val="130D615E"/>
    <w:rsid w:val="131674A1"/>
    <w:rsid w:val="131D034D"/>
    <w:rsid w:val="13283524"/>
    <w:rsid w:val="13315BA7"/>
    <w:rsid w:val="13392358"/>
    <w:rsid w:val="133B07D3"/>
    <w:rsid w:val="135D699C"/>
    <w:rsid w:val="136B3218"/>
    <w:rsid w:val="136C3EED"/>
    <w:rsid w:val="136C6BDF"/>
    <w:rsid w:val="137B5074"/>
    <w:rsid w:val="13813B6F"/>
    <w:rsid w:val="138D03AF"/>
    <w:rsid w:val="139236BB"/>
    <w:rsid w:val="139879D4"/>
    <w:rsid w:val="139F6FB4"/>
    <w:rsid w:val="139F7074"/>
    <w:rsid w:val="13A26AA4"/>
    <w:rsid w:val="13B642FE"/>
    <w:rsid w:val="13BB1914"/>
    <w:rsid w:val="13BB206E"/>
    <w:rsid w:val="13D1738A"/>
    <w:rsid w:val="13D80718"/>
    <w:rsid w:val="13D950E1"/>
    <w:rsid w:val="13DC1FB6"/>
    <w:rsid w:val="13E15699"/>
    <w:rsid w:val="13EA1E74"/>
    <w:rsid w:val="13EF3E23"/>
    <w:rsid w:val="13FDE4E9"/>
    <w:rsid w:val="13FF5CA5"/>
    <w:rsid w:val="14005579"/>
    <w:rsid w:val="140B63F8"/>
    <w:rsid w:val="142851FC"/>
    <w:rsid w:val="143F42F3"/>
    <w:rsid w:val="1448764C"/>
    <w:rsid w:val="145853B5"/>
    <w:rsid w:val="145A737F"/>
    <w:rsid w:val="145D29CB"/>
    <w:rsid w:val="14695228"/>
    <w:rsid w:val="14714425"/>
    <w:rsid w:val="14773A8D"/>
    <w:rsid w:val="14785E3A"/>
    <w:rsid w:val="147E5129"/>
    <w:rsid w:val="14812B5E"/>
    <w:rsid w:val="14830684"/>
    <w:rsid w:val="148E75B8"/>
    <w:rsid w:val="148F527B"/>
    <w:rsid w:val="149573A0"/>
    <w:rsid w:val="14972381"/>
    <w:rsid w:val="14A32AD4"/>
    <w:rsid w:val="14A81E98"/>
    <w:rsid w:val="14AD3953"/>
    <w:rsid w:val="14AD74AF"/>
    <w:rsid w:val="14C119F5"/>
    <w:rsid w:val="14C15ED1"/>
    <w:rsid w:val="14C17E60"/>
    <w:rsid w:val="14C36CD2"/>
    <w:rsid w:val="14CA6F83"/>
    <w:rsid w:val="14CD2CB9"/>
    <w:rsid w:val="14E05AD6"/>
    <w:rsid w:val="14E07884"/>
    <w:rsid w:val="14FB2910"/>
    <w:rsid w:val="15080B89"/>
    <w:rsid w:val="150C1BA5"/>
    <w:rsid w:val="151B4D60"/>
    <w:rsid w:val="151D17DA"/>
    <w:rsid w:val="151E372E"/>
    <w:rsid w:val="152C3F68"/>
    <w:rsid w:val="153674A4"/>
    <w:rsid w:val="15524618"/>
    <w:rsid w:val="155838BF"/>
    <w:rsid w:val="155E2E9F"/>
    <w:rsid w:val="155E4C4D"/>
    <w:rsid w:val="156009C5"/>
    <w:rsid w:val="15602773"/>
    <w:rsid w:val="156D5E21"/>
    <w:rsid w:val="15785D0F"/>
    <w:rsid w:val="157B75AD"/>
    <w:rsid w:val="157F52EF"/>
    <w:rsid w:val="15843123"/>
    <w:rsid w:val="15846453"/>
    <w:rsid w:val="15846B3F"/>
    <w:rsid w:val="158741A4"/>
    <w:rsid w:val="15973CBB"/>
    <w:rsid w:val="159B421A"/>
    <w:rsid w:val="159D5775"/>
    <w:rsid w:val="15A3568B"/>
    <w:rsid w:val="15AE4CA6"/>
    <w:rsid w:val="15AF1AA9"/>
    <w:rsid w:val="15BD5E17"/>
    <w:rsid w:val="15CA22E2"/>
    <w:rsid w:val="15CE200E"/>
    <w:rsid w:val="15D1541F"/>
    <w:rsid w:val="15E30B21"/>
    <w:rsid w:val="15E92769"/>
    <w:rsid w:val="15F1161D"/>
    <w:rsid w:val="15F7693B"/>
    <w:rsid w:val="15F8174B"/>
    <w:rsid w:val="15F86E50"/>
    <w:rsid w:val="15FFD219"/>
    <w:rsid w:val="160643EA"/>
    <w:rsid w:val="160B6B83"/>
    <w:rsid w:val="16113B89"/>
    <w:rsid w:val="161B48EC"/>
    <w:rsid w:val="16221E64"/>
    <w:rsid w:val="16353C00"/>
    <w:rsid w:val="16491C86"/>
    <w:rsid w:val="16570A70"/>
    <w:rsid w:val="16573B76"/>
    <w:rsid w:val="166743C0"/>
    <w:rsid w:val="16691AFB"/>
    <w:rsid w:val="166938A9"/>
    <w:rsid w:val="166A1D5B"/>
    <w:rsid w:val="16797F90"/>
    <w:rsid w:val="169923E1"/>
    <w:rsid w:val="16996F47"/>
    <w:rsid w:val="16A029FF"/>
    <w:rsid w:val="16A3500D"/>
    <w:rsid w:val="16AB5C70"/>
    <w:rsid w:val="16AD7C3A"/>
    <w:rsid w:val="16B77B7F"/>
    <w:rsid w:val="16BC766A"/>
    <w:rsid w:val="16C810CC"/>
    <w:rsid w:val="16C83453"/>
    <w:rsid w:val="16DC407B"/>
    <w:rsid w:val="16DF3B6C"/>
    <w:rsid w:val="16E573D4"/>
    <w:rsid w:val="16EB0762"/>
    <w:rsid w:val="16EF0253"/>
    <w:rsid w:val="17017F86"/>
    <w:rsid w:val="17081314"/>
    <w:rsid w:val="17216BF1"/>
    <w:rsid w:val="17342109"/>
    <w:rsid w:val="173B5246"/>
    <w:rsid w:val="17430527"/>
    <w:rsid w:val="1743234C"/>
    <w:rsid w:val="174560AE"/>
    <w:rsid w:val="17465CF0"/>
    <w:rsid w:val="174A246D"/>
    <w:rsid w:val="174A7237"/>
    <w:rsid w:val="17597129"/>
    <w:rsid w:val="176B686C"/>
    <w:rsid w:val="176C5189"/>
    <w:rsid w:val="177249E0"/>
    <w:rsid w:val="17793522"/>
    <w:rsid w:val="17897066"/>
    <w:rsid w:val="178D35C8"/>
    <w:rsid w:val="1794305D"/>
    <w:rsid w:val="17A27073"/>
    <w:rsid w:val="17AA1223"/>
    <w:rsid w:val="17B84AE8"/>
    <w:rsid w:val="17C20AF1"/>
    <w:rsid w:val="17CE7E68"/>
    <w:rsid w:val="17CF07B3"/>
    <w:rsid w:val="17CF3BE0"/>
    <w:rsid w:val="17D31922"/>
    <w:rsid w:val="17DF02C7"/>
    <w:rsid w:val="17E05DED"/>
    <w:rsid w:val="17E458DD"/>
    <w:rsid w:val="17E83538"/>
    <w:rsid w:val="17EC6540"/>
    <w:rsid w:val="17F90C5D"/>
    <w:rsid w:val="17FE0021"/>
    <w:rsid w:val="17FFF359"/>
    <w:rsid w:val="18040B17"/>
    <w:rsid w:val="180B263C"/>
    <w:rsid w:val="18147EF7"/>
    <w:rsid w:val="1824217E"/>
    <w:rsid w:val="182C4B8E"/>
    <w:rsid w:val="1836143D"/>
    <w:rsid w:val="183E32DD"/>
    <w:rsid w:val="183F2B14"/>
    <w:rsid w:val="183F4A1B"/>
    <w:rsid w:val="18561D8C"/>
    <w:rsid w:val="18622CA6"/>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8F63219"/>
    <w:rsid w:val="18FC27B3"/>
    <w:rsid w:val="19017F1E"/>
    <w:rsid w:val="19143E89"/>
    <w:rsid w:val="19292A5B"/>
    <w:rsid w:val="193B4FD0"/>
    <w:rsid w:val="19483C4A"/>
    <w:rsid w:val="194859F8"/>
    <w:rsid w:val="1966200A"/>
    <w:rsid w:val="196640D0"/>
    <w:rsid w:val="196675A6"/>
    <w:rsid w:val="196C3C60"/>
    <w:rsid w:val="196E69FF"/>
    <w:rsid w:val="19826C1B"/>
    <w:rsid w:val="19834C82"/>
    <w:rsid w:val="198D79E3"/>
    <w:rsid w:val="199155F1"/>
    <w:rsid w:val="1997072D"/>
    <w:rsid w:val="199E386A"/>
    <w:rsid w:val="199F0419"/>
    <w:rsid w:val="19A30E80"/>
    <w:rsid w:val="19AA3D70"/>
    <w:rsid w:val="19B4188F"/>
    <w:rsid w:val="19B66E06"/>
    <w:rsid w:val="19C257AA"/>
    <w:rsid w:val="19CE23A9"/>
    <w:rsid w:val="19F23D5E"/>
    <w:rsid w:val="19F441E8"/>
    <w:rsid w:val="19F50C03"/>
    <w:rsid w:val="19FA13E8"/>
    <w:rsid w:val="19FA57AF"/>
    <w:rsid w:val="19FB2C6B"/>
    <w:rsid w:val="19FB6F0E"/>
    <w:rsid w:val="19FD2C86"/>
    <w:rsid w:val="19FF69FF"/>
    <w:rsid w:val="1A02204B"/>
    <w:rsid w:val="1A15655E"/>
    <w:rsid w:val="1A1A55E6"/>
    <w:rsid w:val="1A1B135F"/>
    <w:rsid w:val="1A3146DE"/>
    <w:rsid w:val="1A3D3083"/>
    <w:rsid w:val="1A3F6DFB"/>
    <w:rsid w:val="1A402B73"/>
    <w:rsid w:val="1A4563DB"/>
    <w:rsid w:val="1A5605E9"/>
    <w:rsid w:val="1A5A3055"/>
    <w:rsid w:val="1A5E5585"/>
    <w:rsid w:val="1A772A39"/>
    <w:rsid w:val="1A7E085D"/>
    <w:rsid w:val="1A862C7C"/>
    <w:rsid w:val="1A89276C"/>
    <w:rsid w:val="1A8C7B66"/>
    <w:rsid w:val="1A8D1FDE"/>
    <w:rsid w:val="1A930EF5"/>
    <w:rsid w:val="1A9B6960"/>
    <w:rsid w:val="1A9D1D74"/>
    <w:rsid w:val="1AB538EA"/>
    <w:rsid w:val="1AB64BE3"/>
    <w:rsid w:val="1AC437A4"/>
    <w:rsid w:val="1AC53040"/>
    <w:rsid w:val="1ACC326C"/>
    <w:rsid w:val="1AD35795"/>
    <w:rsid w:val="1AD559B1"/>
    <w:rsid w:val="1AE14356"/>
    <w:rsid w:val="1AF04599"/>
    <w:rsid w:val="1AF35E37"/>
    <w:rsid w:val="1AF677E0"/>
    <w:rsid w:val="1AFB6815"/>
    <w:rsid w:val="1AFC6A9A"/>
    <w:rsid w:val="1AFED777"/>
    <w:rsid w:val="1B122762"/>
    <w:rsid w:val="1B18764C"/>
    <w:rsid w:val="1B1B1DD5"/>
    <w:rsid w:val="1B2304CB"/>
    <w:rsid w:val="1B247C49"/>
    <w:rsid w:val="1B324BB2"/>
    <w:rsid w:val="1B3F0D70"/>
    <w:rsid w:val="1B3F1135"/>
    <w:rsid w:val="1B487F31"/>
    <w:rsid w:val="1B5B449F"/>
    <w:rsid w:val="1B670381"/>
    <w:rsid w:val="1B6B3C20"/>
    <w:rsid w:val="1B707488"/>
    <w:rsid w:val="1B7170CE"/>
    <w:rsid w:val="1B772E08"/>
    <w:rsid w:val="1B852378"/>
    <w:rsid w:val="1B866CAC"/>
    <w:rsid w:val="1B871C76"/>
    <w:rsid w:val="1B8D003A"/>
    <w:rsid w:val="1BA21B7B"/>
    <w:rsid w:val="1BAB2470"/>
    <w:rsid w:val="1BAF1D5E"/>
    <w:rsid w:val="1BB32106"/>
    <w:rsid w:val="1BB67591"/>
    <w:rsid w:val="1BBF6939"/>
    <w:rsid w:val="1BC872C4"/>
    <w:rsid w:val="1BCD48DA"/>
    <w:rsid w:val="1BD96DDB"/>
    <w:rsid w:val="1BDFC116"/>
    <w:rsid w:val="1BE107B4"/>
    <w:rsid w:val="1BE4113E"/>
    <w:rsid w:val="1BE839E6"/>
    <w:rsid w:val="1BF9B495"/>
    <w:rsid w:val="1BFCA88A"/>
    <w:rsid w:val="1BFE6842"/>
    <w:rsid w:val="1C00080C"/>
    <w:rsid w:val="1C057BD0"/>
    <w:rsid w:val="1C093B64"/>
    <w:rsid w:val="1C146065"/>
    <w:rsid w:val="1C213768"/>
    <w:rsid w:val="1C27223D"/>
    <w:rsid w:val="1C2C1601"/>
    <w:rsid w:val="1C2F2E9F"/>
    <w:rsid w:val="1C404676"/>
    <w:rsid w:val="1C493163"/>
    <w:rsid w:val="1C4C1CA3"/>
    <w:rsid w:val="1C4F3C15"/>
    <w:rsid w:val="1C500517"/>
    <w:rsid w:val="1C5E5533"/>
    <w:rsid w:val="1C614B7E"/>
    <w:rsid w:val="1C626DD1"/>
    <w:rsid w:val="1C7134B8"/>
    <w:rsid w:val="1C735482"/>
    <w:rsid w:val="1C7A236C"/>
    <w:rsid w:val="1C8B5289"/>
    <w:rsid w:val="1C8E406A"/>
    <w:rsid w:val="1C962F1E"/>
    <w:rsid w:val="1C974619"/>
    <w:rsid w:val="1C9A0C60"/>
    <w:rsid w:val="1CB270E6"/>
    <w:rsid w:val="1CBA2C7B"/>
    <w:rsid w:val="1CBA6C0D"/>
    <w:rsid w:val="1CC57360"/>
    <w:rsid w:val="1CD162D3"/>
    <w:rsid w:val="1CD71683"/>
    <w:rsid w:val="1CE1785A"/>
    <w:rsid w:val="1CE26164"/>
    <w:rsid w:val="1CEB478D"/>
    <w:rsid w:val="1CF06AD2"/>
    <w:rsid w:val="1CF33ECD"/>
    <w:rsid w:val="1CF365C3"/>
    <w:rsid w:val="1CFA16FF"/>
    <w:rsid w:val="1CFF7FAA"/>
    <w:rsid w:val="1D036806"/>
    <w:rsid w:val="1D0C4F8F"/>
    <w:rsid w:val="1D1A3B4F"/>
    <w:rsid w:val="1D1F1166"/>
    <w:rsid w:val="1D2C6FFE"/>
    <w:rsid w:val="1D3179E7"/>
    <w:rsid w:val="1D320E99"/>
    <w:rsid w:val="1D385D84"/>
    <w:rsid w:val="1D3C5874"/>
    <w:rsid w:val="1D3F35B6"/>
    <w:rsid w:val="1D48246B"/>
    <w:rsid w:val="1D540E0F"/>
    <w:rsid w:val="1D5BD51B"/>
    <w:rsid w:val="1D5C514E"/>
    <w:rsid w:val="1D5C5F16"/>
    <w:rsid w:val="1D5D0FA4"/>
    <w:rsid w:val="1D5E1C8E"/>
    <w:rsid w:val="1D631052"/>
    <w:rsid w:val="1D6327E7"/>
    <w:rsid w:val="1D6C19D4"/>
    <w:rsid w:val="1D6C40A6"/>
    <w:rsid w:val="1D6D3C7F"/>
    <w:rsid w:val="1D770853"/>
    <w:rsid w:val="1D8A5AE8"/>
    <w:rsid w:val="1D905BC0"/>
    <w:rsid w:val="1D925CFF"/>
    <w:rsid w:val="1DBF54C3"/>
    <w:rsid w:val="1DBFC4B2"/>
    <w:rsid w:val="1DC74FF4"/>
    <w:rsid w:val="1DC76378"/>
    <w:rsid w:val="1DCD471E"/>
    <w:rsid w:val="1DCF66E8"/>
    <w:rsid w:val="1DD41F50"/>
    <w:rsid w:val="1DD93CC7"/>
    <w:rsid w:val="1DDFF5FF"/>
    <w:rsid w:val="1DE71C83"/>
    <w:rsid w:val="1DED6B6E"/>
    <w:rsid w:val="1DF148B0"/>
    <w:rsid w:val="1DF3687A"/>
    <w:rsid w:val="1DFB572F"/>
    <w:rsid w:val="1E01086B"/>
    <w:rsid w:val="1E0B5246"/>
    <w:rsid w:val="1E18008F"/>
    <w:rsid w:val="1E2258EB"/>
    <w:rsid w:val="1E2527AC"/>
    <w:rsid w:val="1E2A6014"/>
    <w:rsid w:val="1E312B23"/>
    <w:rsid w:val="1E367A74"/>
    <w:rsid w:val="1E391DB3"/>
    <w:rsid w:val="1E3967BD"/>
    <w:rsid w:val="1E3E386E"/>
    <w:rsid w:val="1E432C32"/>
    <w:rsid w:val="1E45572C"/>
    <w:rsid w:val="1E5310C7"/>
    <w:rsid w:val="1E5861E5"/>
    <w:rsid w:val="1E6257AE"/>
    <w:rsid w:val="1E63378E"/>
    <w:rsid w:val="1E641526"/>
    <w:rsid w:val="1E656462"/>
    <w:rsid w:val="1E6B73A1"/>
    <w:rsid w:val="1E74728F"/>
    <w:rsid w:val="1E7F289E"/>
    <w:rsid w:val="1E805C34"/>
    <w:rsid w:val="1E85324A"/>
    <w:rsid w:val="1E937715"/>
    <w:rsid w:val="1E9C4BD8"/>
    <w:rsid w:val="1EA35FEA"/>
    <w:rsid w:val="1EA41923"/>
    <w:rsid w:val="1EAE09F3"/>
    <w:rsid w:val="1EAE7F57"/>
    <w:rsid w:val="1EBA2EF4"/>
    <w:rsid w:val="1EBB4EBE"/>
    <w:rsid w:val="1EBF49AE"/>
    <w:rsid w:val="1EC04596"/>
    <w:rsid w:val="1ECB3353"/>
    <w:rsid w:val="1ED55F80"/>
    <w:rsid w:val="1ED709CD"/>
    <w:rsid w:val="1EE05092"/>
    <w:rsid w:val="1EE2244B"/>
    <w:rsid w:val="1EEB653C"/>
    <w:rsid w:val="1EEF9422"/>
    <w:rsid w:val="1EF81DD0"/>
    <w:rsid w:val="1F0A0121"/>
    <w:rsid w:val="1F0C3495"/>
    <w:rsid w:val="1F0C74C8"/>
    <w:rsid w:val="1F0E3240"/>
    <w:rsid w:val="1F234F3D"/>
    <w:rsid w:val="1F274302"/>
    <w:rsid w:val="1F2B2044"/>
    <w:rsid w:val="1F2D2183"/>
    <w:rsid w:val="1F301408"/>
    <w:rsid w:val="1F430A42"/>
    <w:rsid w:val="1F4629DA"/>
    <w:rsid w:val="1F481CE3"/>
    <w:rsid w:val="1F4C5B16"/>
    <w:rsid w:val="1F5570C1"/>
    <w:rsid w:val="1F58270D"/>
    <w:rsid w:val="1F585875"/>
    <w:rsid w:val="1F6B41EE"/>
    <w:rsid w:val="1F705CA9"/>
    <w:rsid w:val="1F713C61"/>
    <w:rsid w:val="1F7421F4"/>
    <w:rsid w:val="1F7834B8"/>
    <w:rsid w:val="1F7C289F"/>
    <w:rsid w:val="1F7C464D"/>
    <w:rsid w:val="1F841754"/>
    <w:rsid w:val="1F8802F8"/>
    <w:rsid w:val="1F8B663F"/>
    <w:rsid w:val="1F951B51"/>
    <w:rsid w:val="1FA37E2C"/>
    <w:rsid w:val="1FB42039"/>
    <w:rsid w:val="1FBB9104"/>
    <w:rsid w:val="1FBF9B23"/>
    <w:rsid w:val="1FC35DD8"/>
    <w:rsid w:val="1FCB1AFA"/>
    <w:rsid w:val="1FDA1374"/>
    <w:rsid w:val="1FDB7F9A"/>
    <w:rsid w:val="1FE30A3F"/>
    <w:rsid w:val="1FED554B"/>
    <w:rsid w:val="1FF1BAE6"/>
    <w:rsid w:val="1FF35968"/>
    <w:rsid w:val="1FF786E4"/>
    <w:rsid w:val="1FFE4B2A"/>
    <w:rsid w:val="20032679"/>
    <w:rsid w:val="200C3C23"/>
    <w:rsid w:val="20162EA9"/>
    <w:rsid w:val="201C198C"/>
    <w:rsid w:val="201E74B3"/>
    <w:rsid w:val="20230F6D"/>
    <w:rsid w:val="202E4C3E"/>
    <w:rsid w:val="20325E0F"/>
    <w:rsid w:val="203B510F"/>
    <w:rsid w:val="2040567B"/>
    <w:rsid w:val="20542ED4"/>
    <w:rsid w:val="20605D1D"/>
    <w:rsid w:val="20746E58"/>
    <w:rsid w:val="20825C93"/>
    <w:rsid w:val="20983709"/>
    <w:rsid w:val="209E260B"/>
    <w:rsid w:val="20A16773"/>
    <w:rsid w:val="20A53730"/>
    <w:rsid w:val="20AE6A88"/>
    <w:rsid w:val="20B00A53"/>
    <w:rsid w:val="20C20786"/>
    <w:rsid w:val="20DA787E"/>
    <w:rsid w:val="20E00C0C"/>
    <w:rsid w:val="20E017E3"/>
    <w:rsid w:val="20E0229D"/>
    <w:rsid w:val="20EF23DB"/>
    <w:rsid w:val="20FF4FC7"/>
    <w:rsid w:val="21081851"/>
    <w:rsid w:val="210C3853"/>
    <w:rsid w:val="2113307A"/>
    <w:rsid w:val="211E20A8"/>
    <w:rsid w:val="21254871"/>
    <w:rsid w:val="212925B3"/>
    <w:rsid w:val="2129610F"/>
    <w:rsid w:val="214116AB"/>
    <w:rsid w:val="21486EDD"/>
    <w:rsid w:val="214C004F"/>
    <w:rsid w:val="21556F04"/>
    <w:rsid w:val="21563120"/>
    <w:rsid w:val="21701F90"/>
    <w:rsid w:val="2173382E"/>
    <w:rsid w:val="217D645B"/>
    <w:rsid w:val="2197576F"/>
    <w:rsid w:val="219C3D3D"/>
    <w:rsid w:val="21C9556D"/>
    <w:rsid w:val="21CE6CB6"/>
    <w:rsid w:val="21D267A7"/>
    <w:rsid w:val="21DA38AD"/>
    <w:rsid w:val="21E94583"/>
    <w:rsid w:val="21EB1616"/>
    <w:rsid w:val="21F11323"/>
    <w:rsid w:val="21F66939"/>
    <w:rsid w:val="21FBEBEB"/>
    <w:rsid w:val="21FE759C"/>
    <w:rsid w:val="220152DE"/>
    <w:rsid w:val="22105521"/>
    <w:rsid w:val="22120F99"/>
    <w:rsid w:val="22197BD3"/>
    <w:rsid w:val="2221328A"/>
    <w:rsid w:val="22242C4B"/>
    <w:rsid w:val="222A213F"/>
    <w:rsid w:val="222E0711"/>
    <w:rsid w:val="22342FBD"/>
    <w:rsid w:val="223905D4"/>
    <w:rsid w:val="223F7389"/>
    <w:rsid w:val="22400EBD"/>
    <w:rsid w:val="22446596"/>
    <w:rsid w:val="22477195"/>
    <w:rsid w:val="224C154B"/>
    <w:rsid w:val="225F3691"/>
    <w:rsid w:val="22646256"/>
    <w:rsid w:val="226A2E83"/>
    <w:rsid w:val="226A69DF"/>
    <w:rsid w:val="227026FD"/>
    <w:rsid w:val="22771FA7"/>
    <w:rsid w:val="22791318"/>
    <w:rsid w:val="22825920"/>
    <w:rsid w:val="22853819"/>
    <w:rsid w:val="228757E3"/>
    <w:rsid w:val="229D0F3D"/>
    <w:rsid w:val="22A7378F"/>
    <w:rsid w:val="22A939AB"/>
    <w:rsid w:val="22B1460E"/>
    <w:rsid w:val="22C67236"/>
    <w:rsid w:val="22CB4050"/>
    <w:rsid w:val="22CB59C2"/>
    <w:rsid w:val="22CC58EC"/>
    <w:rsid w:val="22D20787"/>
    <w:rsid w:val="22DC46F3"/>
    <w:rsid w:val="22E9024C"/>
    <w:rsid w:val="22E91B93"/>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35DDC"/>
    <w:rsid w:val="23647A3F"/>
    <w:rsid w:val="23711FEF"/>
    <w:rsid w:val="23735D67"/>
    <w:rsid w:val="237415CC"/>
    <w:rsid w:val="23791F56"/>
    <w:rsid w:val="2388552B"/>
    <w:rsid w:val="239634D6"/>
    <w:rsid w:val="23A405B6"/>
    <w:rsid w:val="23A67EEB"/>
    <w:rsid w:val="23AD74CB"/>
    <w:rsid w:val="23B14ACF"/>
    <w:rsid w:val="23B175F2"/>
    <w:rsid w:val="23BF2D5B"/>
    <w:rsid w:val="23C022CC"/>
    <w:rsid w:val="23CF8B6C"/>
    <w:rsid w:val="23E80503"/>
    <w:rsid w:val="23EE527F"/>
    <w:rsid w:val="23FA0813"/>
    <w:rsid w:val="240370EB"/>
    <w:rsid w:val="240B5FA0"/>
    <w:rsid w:val="24267432"/>
    <w:rsid w:val="242A28CA"/>
    <w:rsid w:val="24397F95"/>
    <w:rsid w:val="243B1825"/>
    <w:rsid w:val="244F7827"/>
    <w:rsid w:val="246A5C7F"/>
    <w:rsid w:val="246D6C5B"/>
    <w:rsid w:val="246F4781"/>
    <w:rsid w:val="24724271"/>
    <w:rsid w:val="24831FDA"/>
    <w:rsid w:val="24854AAB"/>
    <w:rsid w:val="24877D1C"/>
    <w:rsid w:val="248D03F5"/>
    <w:rsid w:val="249266C1"/>
    <w:rsid w:val="24945F95"/>
    <w:rsid w:val="24A77945"/>
    <w:rsid w:val="24A93651"/>
    <w:rsid w:val="24AC1531"/>
    <w:rsid w:val="24AC1A70"/>
    <w:rsid w:val="24B6415E"/>
    <w:rsid w:val="24C34ACD"/>
    <w:rsid w:val="24CA7C09"/>
    <w:rsid w:val="24D9609E"/>
    <w:rsid w:val="24DE57D6"/>
    <w:rsid w:val="24DF7B38"/>
    <w:rsid w:val="24E24F53"/>
    <w:rsid w:val="24EF141E"/>
    <w:rsid w:val="25040109"/>
    <w:rsid w:val="25051A1C"/>
    <w:rsid w:val="250B4B52"/>
    <w:rsid w:val="251D242F"/>
    <w:rsid w:val="25205A7B"/>
    <w:rsid w:val="2536704D"/>
    <w:rsid w:val="25381017"/>
    <w:rsid w:val="254E083A"/>
    <w:rsid w:val="25592D3B"/>
    <w:rsid w:val="2559439E"/>
    <w:rsid w:val="255C5828"/>
    <w:rsid w:val="25600EA1"/>
    <w:rsid w:val="256F255E"/>
    <w:rsid w:val="25710DD0"/>
    <w:rsid w:val="2572277A"/>
    <w:rsid w:val="25757B75"/>
    <w:rsid w:val="258C1362"/>
    <w:rsid w:val="25950217"/>
    <w:rsid w:val="259C15A5"/>
    <w:rsid w:val="25AA356F"/>
    <w:rsid w:val="25AB5364"/>
    <w:rsid w:val="25AFFA62"/>
    <w:rsid w:val="25B932FA"/>
    <w:rsid w:val="25C428AA"/>
    <w:rsid w:val="25C64874"/>
    <w:rsid w:val="25D14CE5"/>
    <w:rsid w:val="25DF76E4"/>
    <w:rsid w:val="25E35426"/>
    <w:rsid w:val="25F04432"/>
    <w:rsid w:val="25F56F08"/>
    <w:rsid w:val="2601765A"/>
    <w:rsid w:val="260945AA"/>
    <w:rsid w:val="26127ABA"/>
    <w:rsid w:val="26171E73"/>
    <w:rsid w:val="26211AAB"/>
    <w:rsid w:val="26216A75"/>
    <w:rsid w:val="26503617"/>
    <w:rsid w:val="26571970"/>
    <w:rsid w:val="265D380A"/>
    <w:rsid w:val="26627AE0"/>
    <w:rsid w:val="266320C3"/>
    <w:rsid w:val="26667E05"/>
    <w:rsid w:val="266A16A4"/>
    <w:rsid w:val="266F2816"/>
    <w:rsid w:val="266F6CBA"/>
    <w:rsid w:val="26793695"/>
    <w:rsid w:val="2685203A"/>
    <w:rsid w:val="26856E3E"/>
    <w:rsid w:val="268B6B8C"/>
    <w:rsid w:val="26932C8A"/>
    <w:rsid w:val="269C3827"/>
    <w:rsid w:val="269E134D"/>
    <w:rsid w:val="26AB1368"/>
    <w:rsid w:val="26AC3A6A"/>
    <w:rsid w:val="26B11081"/>
    <w:rsid w:val="26BA42E4"/>
    <w:rsid w:val="26C80178"/>
    <w:rsid w:val="26C863CA"/>
    <w:rsid w:val="26CF7759"/>
    <w:rsid w:val="26DE6C18"/>
    <w:rsid w:val="26E41767"/>
    <w:rsid w:val="26ED5E15"/>
    <w:rsid w:val="26F92A28"/>
    <w:rsid w:val="270C4509"/>
    <w:rsid w:val="27140A15"/>
    <w:rsid w:val="27194E78"/>
    <w:rsid w:val="272950BB"/>
    <w:rsid w:val="2732271F"/>
    <w:rsid w:val="27343A60"/>
    <w:rsid w:val="273C2207"/>
    <w:rsid w:val="27433CA3"/>
    <w:rsid w:val="27457128"/>
    <w:rsid w:val="27587B2E"/>
    <w:rsid w:val="275B1765"/>
    <w:rsid w:val="275B723E"/>
    <w:rsid w:val="275D2FB6"/>
    <w:rsid w:val="276032C4"/>
    <w:rsid w:val="27624129"/>
    <w:rsid w:val="27663AD0"/>
    <w:rsid w:val="27673E71"/>
    <w:rsid w:val="27781B9E"/>
    <w:rsid w:val="277C5A6B"/>
    <w:rsid w:val="277F5780"/>
    <w:rsid w:val="27972CF7"/>
    <w:rsid w:val="27983FEE"/>
    <w:rsid w:val="279B763B"/>
    <w:rsid w:val="279D7857"/>
    <w:rsid w:val="27A04C51"/>
    <w:rsid w:val="27A40BE5"/>
    <w:rsid w:val="27A75FE0"/>
    <w:rsid w:val="27AF30E6"/>
    <w:rsid w:val="27BA3F65"/>
    <w:rsid w:val="27C76682"/>
    <w:rsid w:val="27CA519C"/>
    <w:rsid w:val="27D003F3"/>
    <w:rsid w:val="27D25752"/>
    <w:rsid w:val="27D75F18"/>
    <w:rsid w:val="27DC1238"/>
    <w:rsid w:val="27DE7FB7"/>
    <w:rsid w:val="27E962E8"/>
    <w:rsid w:val="27EE00B2"/>
    <w:rsid w:val="27EE2498"/>
    <w:rsid w:val="27F356C9"/>
    <w:rsid w:val="27F5CDC8"/>
    <w:rsid w:val="27F65B6B"/>
    <w:rsid w:val="27F82CDF"/>
    <w:rsid w:val="27FA5549"/>
    <w:rsid w:val="27FC778E"/>
    <w:rsid w:val="28001620"/>
    <w:rsid w:val="28081174"/>
    <w:rsid w:val="28094EEC"/>
    <w:rsid w:val="2810627B"/>
    <w:rsid w:val="28117E77"/>
    <w:rsid w:val="28180C8B"/>
    <w:rsid w:val="281A60B3"/>
    <w:rsid w:val="281C5B9F"/>
    <w:rsid w:val="281E1197"/>
    <w:rsid w:val="28277120"/>
    <w:rsid w:val="283261F1"/>
    <w:rsid w:val="28335AC5"/>
    <w:rsid w:val="28375F5F"/>
    <w:rsid w:val="283C7070"/>
    <w:rsid w:val="28420A0F"/>
    <w:rsid w:val="28461C9C"/>
    <w:rsid w:val="284E72DC"/>
    <w:rsid w:val="285F68BA"/>
    <w:rsid w:val="286D547B"/>
    <w:rsid w:val="287A1946"/>
    <w:rsid w:val="28920A3E"/>
    <w:rsid w:val="28924EE2"/>
    <w:rsid w:val="289A5B44"/>
    <w:rsid w:val="289F1401"/>
    <w:rsid w:val="28A54C15"/>
    <w:rsid w:val="28A864B3"/>
    <w:rsid w:val="28AD1D1C"/>
    <w:rsid w:val="28AF339E"/>
    <w:rsid w:val="28C17575"/>
    <w:rsid w:val="28D728F5"/>
    <w:rsid w:val="28D75265"/>
    <w:rsid w:val="28E53263"/>
    <w:rsid w:val="28F17E5A"/>
    <w:rsid w:val="28F2772E"/>
    <w:rsid w:val="28F811E9"/>
    <w:rsid w:val="28F96D0F"/>
    <w:rsid w:val="28FE2577"/>
    <w:rsid w:val="28FE60D3"/>
    <w:rsid w:val="28FF0239"/>
    <w:rsid w:val="290302E2"/>
    <w:rsid w:val="290C4C94"/>
    <w:rsid w:val="290D23D9"/>
    <w:rsid w:val="29264CF8"/>
    <w:rsid w:val="292813A2"/>
    <w:rsid w:val="293036D9"/>
    <w:rsid w:val="29312005"/>
    <w:rsid w:val="294607E9"/>
    <w:rsid w:val="29493808"/>
    <w:rsid w:val="294A57BC"/>
    <w:rsid w:val="294F2457"/>
    <w:rsid w:val="29514455"/>
    <w:rsid w:val="29613FA7"/>
    <w:rsid w:val="296323DA"/>
    <w:rsid w:val="296B671C"/>
    <w:rsid w:val="296B9323"/>
    <w:rsid w:val="296C128F"/>
    <w:rsid w:val="296D0004"/>
    <w:rsid w:val="296E5E76"/>
    <w:rsid w:val="297F5466"/>
    <w:rsid w:val="29842A7C"/>
    <w:rsid w:val="298C36DF"/>
    <w:rsid w:val="298E38FB"/>
    <w:rsid w:val="299407E6"/>
    <w:rsid w:val="29A0362E"/>
    <w:rsid w:val="29A547A1"/>
    <w:rsid w:val="29AA0009"/>
    <w:rsid w:val="29B570DA"/>
    <w:rsid w:val="29B844D4"/>
    <w:rsid w:val="29C42E61"/>
    <w:rsid w:val="29CC61D1"/>
    <w:rsid w:val="29D72644"/>
    <w:rsid w:val="29E3739C"/>
    <w:rsid w:val="29E66BFE"/>
    <w:rsid w:val="29E73757"/>
    <w:rsid w:val="29E928DF"/>
    <w:rsid w:val="29ED173B"/>
    <w:rsid w:val="29EF3C6E"/>
    <w:rsid w:val="2A04596B"/>
    <w:rsid w:val="2A170E1D"/>
    <w:rsid w:val="2A267326"/>
    <w:rsid w:val="2A481CFC"/>
    <w:rsid w:val="2A4F5AC1"/>
    <w:rsid w:val="2A4F6D47"/>
    <w:rsid w:val="2A581813"/>
    <w:rsid w:val="2A593177"/>
    <w:rsid w:val="2A5F446A"/>
    <w:rsid w:val="2A652C58"/>
    <w:rsid w:val="2A704DAF"/>
    <w:rsid w:val="2A872B65"/>
    <w:rsid w:val="2A8C1F5E"/>
    <w:rsid w:val="2AA36F32"/>
    <w:rsid w:val="2AA63DE5"/>
    <w:rsid w:val="2AAA6513"/>
    <w:rsid w:val="2AAE3CB0"/>
    <w:rsid w:val="2AB7478C"/>
    <w:rsid w:val="2ABF1892"/>
    <w:rsid w:val="2AD03A9F"/>
    <w:rsid w:val="2AD510B6"/>
    <w:rsid w:val="2AE035FF"/>
    <w:rsid w:val="2AE12C8F"/>
    <w:rsid w:val="2AE32F87"/>
    <w:rsid w:val="2AE632C3"/>
    <w:rsid w:val="2AF14141"/>
    <w:rsid w:val="2AF21C68"/>
    <w:rsid w:val="2AF27EBA"/>
    <w:rsid w:val="2AF54D2B"/>
    <w:rsid w:val="2AF61758"/>
    <w:rsid w:val="2AFA0B1C"/>
    <w:rsid w:val="2B146082"/>
    <w:rsid w:val="2B1B2F6C"/>
    <w:rsid w:val="2B1C6CE5"/>
    <w:rsid w:val="2B22345B"/>
    <w:rsid w:val="2B2838DB"/>
    <w:rsid w:val="2B2D0EF2"/>
    <w:rsid w:val="2B30453E"/>
    <w:rsid w:val="2B317A55"/>
    <w:rsid w:val="2B33475A"/>
    <w:rsid w:val="2B341253"/>
    <w:rsid w:val="2B381D70"/>
    <w:rsid w:val="2B430715"/>
    <w:rsid w:val="2B4A1AA4"/>
    <w:rsid w:val="2B4D161C"/>
    <w:rsid w:val="2B5054D5"/>
    <w:rsid w:val="2B507DFE"/>
    <w:rsid w:val="2B6A3EF4"/>
    <w:rsid w:val="2B6F150A"/>
    <w:rsid w:val="2B7408CF"/>
    <w:rsid w:val="2B794137"/>
    <w:rsid w:val="2B7D59D5"/>
    <w:rsid w:val="2B7E4987"/>
    <w:rsid w:val="2B807273"/>
    <w:rsid w:val="2B89481A"/>
    <w:rsid w:val="2B8E7BE2"/>
    <w:rsid w:val="2B940F71"/>
    <w:rsid w:val="2B960845"/>
    <w:rsid w:val="2BA246DE"/>
    <w:rsid w:val="2BA47406"/>
    <w:rsid w:val="2BA7542D"/>
    <w:rsid w:val="2BA80578"/>
    <w:rsid w:val="2BB470B9"/>
    <w:rsid w:val="2BB55BD0"/>
    <w:rsid w:val="2BBB30B6"/>
    <w:rsid w:val="2BC00E57"/>
    <w:rsid w:val="2BC03B14"/>
    <w:rsid w:val="2BC453B2"/>
    <w:rsid w:val="2BC50590"/>
    <w:rsid w:val="2BC56137"/>
    <w:rsid w:val="2BC65E99"/>
    <w:rsid w:val="2BCC070B"/>
    <w:rsid w:val="2BCE5F4F"/>
    <w:rsid w:val="2BD55811"/>
    <w:rsid w:val="2BDDE61A"/>
    <w:rsid w:val="2BE75544"/>
    <w:rsid w:val="2BEC2B5B"/>
    <w:rsid w:val="2BEFB4B2"/>
    <w:rsid w:val="2BF51D49"/>
    <w:rsid w:val="2BFB307B"/>
    <w:rsid w:val="2BFB8CCA"/>
    <w:rsid w:val="2BFD08C4"/>
    <w:rsid w:val="2C077995"/>
    <w:rsid w:val="2C100EEC"/>
    <w:rsid w:val="2C106849"/>
    <w:rsid w:val="2C11436F"/>
    <w:rsid w:val="2C13380B"/>
    <w:rsid w:val="2C164D4F"/>
    <w:rsid w:val="2C1856FE"/>
    <w:rsid w:val="2C206143"/>
    <w:rsid w:val="2C2C3157"/>
    <w:rsid w:val="2C2E7758"/>
    <w:rsid w:val="2C507C51"/>
    <w:rsid w:val="2C514C9F"/>
    <w:rsid w:val="2C5A3F68"/>
    <w:rsid w:val="2C5A5D16"/>
    <w:rsid w:val="2C610E53"/>
    <w:rsid w:val="2C67706B"/>
    <w:rsid w:val="2C6F72CA"/>
    <w:rsid w:val="2C734E31"/>
    <w:rsid w:val="2C7A0167"/>
    <w:rsid w:val="2C7A1F15"/>
    <w:rsid w:val="2C7D1479"/>
    <w:rsid w:val="2C862667"/>
    <w:rsid w:val="2C8B4122"/>
    <w:rsid w:val="2C8F6D87"/>
    <w:rsid w:val="2C98683F"/>
    <w:rsid w:val="2CA04A4F"/>
    <w:rsid w:val="2CA376BD"/>
    <w:rsid w:val="2CAD3E75"/>
    <w:rsid w:val="2CB05936"/>
    <w:rsid w:val="2CB31D78"/>
    <w:rsid w:val="2CB41336"/>
    <w:rsid w:val="2CB72057"/>
    <w:rsid w:val="2CBA9371"/>
    <w:rsid w:val="2CBD0053"/>
    <w:rsid w:val="2CBE62A5"/>
    <w:rsid w:val="2CBF3DCB"/>
    <w:rsid w:val="2CBF6E23"/>
    <w:rsid w:val="2CC43190"/>
    <w:rsid w:val="2CC55886"/>
    <w:rsid w:val="2CCF04B2"/>
    <w:rsid w:val="2CD45AC9"/>
    <w:rsid w:val="2CD63BB6"/>
    <w:rsid w:val="2CDA0C05"/>
    <w:rsid w:val="2CE13D42"/>
    <w:rsid w:val="2CE3118E"/>
    <w:rsid w:val="2CE90E48"/>
    <w:rsid w:val="2CF75313"/>
    <w:rsid w:val="2CF972DD"/>
    <w:rsid w:val="2D013C8E"/>
    <w:rsid w:val="2D094880"/>
    <w:rsid w:val="2D103148"/>
    <w:rsid w:val="2D151C3D"/>
    <w:rsid w:val="2D19172E"/>
    <w:rsid w:val="2D217755"/>
    <w:rsid w:val="2D263E4A"/>
    <w:rsid w:val="2D265BF9"/>
    <w:rsid w:val="2D2A56E9"/>
    <w:rsid w:val="2D2D25FE"/>
    <w:rsid w:val="2D3447B9"/>
    <w:rsid w:val="2D377E06"/>
    <w:rsid w:val="2D3A4195"/>
    <w:rsid w:val="2D3E1B7B"/>
    <w:rsid w:val="2D4D5DF5"/>
    <w:rsid w:val="2D510EC7"/>
    <w:rsid w:val="2D6E589A"/>
    <w:rsid w:val="2DA03AA4"/>
    <w:rsid w:val="2DA57465"/>
    <w:rsid w:val="2DA90E8C"/>
    <w:rsid w:val="2DBB27E5"/>
    <w:rsid w:val="2DCC49F2"/>
    <w:rsid w:val="2DD37B2E"/>
    <w:rsid w:val="2DD62C52"/>
    <w:rsid w:val="2DDB135C"/>
    <w:rsid w:val="2DDDF8D2"/>
    <w:rsid w:val="2DDF1017"/>
    <w:rsid w:val="2DE25133"/>
    <w:rsid w:val="2DE64648"/>
    <w:rsid w:val="2DF52218"/>
    <w:rsid w:val="2DF61A6F"/>
    <w:rsid w:val="2DF776B3"/>
    <w:rsid w:val="2E0C3040"/>
    <w:rsid w:val="2E107C6F"/>
    <w:rsid w:val="2E1F0FC6"/>
    <w:rsid w:val="2E277E7A"/>
    <w:rsid w:val="2E291E44"/>
    <w:rsid w:val="2E323F32"/>
    <w:rsid w:val="2E344345"/>
    <w:rsid w:val="2E397F51"/>
    <w:rsid w:val="2E3C1B78"/>
    <w:rsid w:val="2E442832"/>
    <w:rsid w:val="2E5067EC"/>
    <w:rsid w:val="2E513149"/>
    <w:rsid w:val="2E5972BA"/>
    <w:rsid w:val="2E5A1FFE"/>
    <w:rsid w:val="2E5E6A04"/>
    <w:rsid w:val="2E6115DE"/>
    <w:rsid w:val="2E6D478D"/>
    <w:rsid w:val="2E7B7D04"/>
    <w:rsid w:val="2E7E50BE"/>
    <w:rsid w:val="2E8452CD"/>
    <w:rsid w:val="2E84707B"/>
    <w:rsid w:val="2E851686"/>
    <w:rsid w:val="2E8E50A7"/>
    <w:rsid w:val="2E921798"/>
    <w:rsid w:val="2E9F3EB4"/>
    <w:rsid w:val="2EA414CB"/>
    <w:rsid w:val="2EAE6E61"/>
    <w:rsid w:val="2EB55684"/>
    <w:rsid w:val="2EB57234"/>
    <w:rsid w:val="2EBA2A9C"/>
    <w:rsid w:val="2EBC7D67"/>
    <w:rsid w:val="2EC15BD9"/>
    <w:rsid w:val="2EC41B6D"/>
    <w:rsid w:val="2EC76F67"/>
    <w:rsid w:val="2EC97664"/>
    <w:rsid w:val="2ECB2EFB"/>
    <w:rsid w:val="2EE330A1"/>
    <w:rsid w:val="2EE45D6B"/>
    <w:rsid w:val="2EF05516"/>
    <w:rsid w:val="2EF75A9F"/>
    <w:rsid w:val="2EF7784D"/>
    <w:rsid w:val="2EFE0BDB"/>
    <w:rsid w:val="2EFE507F"/>
    <w:rsid w:val="2F0F2DE8"/>
    <w:rsid w:val="2F110416"/>
    <w:rsid w:val="2F132EC6"/>
    <w:rsid w:val="2F155773"/>
    <w:rsid w:val="2F2820FC"/>
    <w:rsid w:val="2F28553F"/>
    <w:rsid w:val="2F3508FD"/>
    <w:rsid w:val="2F3C4A2B"/>
    <w:rsid w:val="2F4259D2"/>
    <w:rsid w:val="2F464330"/>
    <w:rsid w:val="2F511653"/>
    <w:rsid w:val="2F6173BC"/>
    <w:rsid w:val="2F662C24"/>
    <w:rsid w:val="2F77273B"/>
    <w:rsid w:val="2F807842"/>
    <w:rsid w:val="2F8F217B"/>
    <w:rsid w:val="2F9368EB"/>
    <w:rsid w:val="2F9F5E0E"/>
    <w:rsid w:val="2FA63021"/>
    <w:rsid w:val="2FA9127F"/>
    <w:rsid w:val="2FAA48BF"/>
    <w:rsid w:val="2FC35981"/>
    <w:rsid w:val="2FD45DE0"/>
    <w:rsid w:val="2FD7142C"/>
    <w:rsid w:val="2FD99BD1"/>
    <w:rsid w:val="2FE32273"/>
    <w:rsid w:val="30056917"/>
    <w:rsid w:val="301405BF"/>
    <w:rsid w:val="301A386E"/>
    <w:rsid w:val="301D52CD"/>
    <w:rsid w:val="302208F9"/>
    <w:rsid w:val="30436BF9"/>
    <w:rsid w:val="30450A8C"/>
    <w:rsid w:val="304A70FB"/>
    <w:rsid w:val="305E0556"/>
    <w:rsid w:val="30633BEA"/>
    <w:rsid w:val="30683C8B"/>
    <w:rsid w:val="307931FA"/>
    <w:rsid w:val="3082583C"/>
    <w:rsid w:val="30847806"/>
    <w:rsid w:val="30863B9C"/>
    <w:rsid w:val="30A33DBB"/>
    <w:rsid w:val="30A734F4"/>
    <w:rsid w:val="30AA184F"/>
    <w:rsid w:val="30B023A9"/>
    <w:rsid w:val="30BA3228"/>
    <w:rsid w:val="30C23E8A"/>
    <w:rsid w:val="30C36E11"/>
    <w:rsid w:val="30CB044F"/>
    <w:rsid w:val="30D2231F"/>
    <w:rsid w:val="30D37306"/>
    <w:rsid w:val="30E65DCB"/>
    <w:rsid w:val="30EC75C0"/>
    <w:rsid w:val="30F304E8"/>
    <w:rsid w:val="30F93D50"/>
    <w:rsid w:val="30FF50DE"/>
    <w:rsid w:val="310261D1"/>
    <w:rsid w:val="310E5321"/>
    <w:rsid w:val="31120E57"/>
    <w:rsid w:val="311346E6"/>
    <w:rsid w:val="311566B0"/>
    <w:rsid w:val="311A4951"/>
    <w:rsid w:val="31215667"/>
    <w:rsid w:val="31274127"/>
    <w:rsid w:val="312912C8"/>
    <w:rsid w:val="31382DE1"/>
    <w:rsid w:val="313E1763"/>
    <w:rsid w:val="31434F33"/>
    <w:rsid w:val="31436D79"/>
    <w:rsid w:val="314739AD"/>
    <w:rsid w:val="314B3E80"/>
    <w:rsid w:val="314F1BC2"/>
    <w:rsid w:val="315C608D"/>
    <w:rsid w:val="317071E6"/>
    <w:rsid w:val="31745184"/>
    <w:rsid w:val="317A6513"/>
    <w:rsid w:val="31802D40"/>
    <w:rsid w:val="31825CED"/>
    <w:rsid w:val="319C46DB"/>
    <w:rsid w:val="319E2C79"/>
    <w:rsid w:val="31A17801"/>
    <w:rsid w:val="31A6555A"/>
    <w:rsid w:val="31B22151"/>
    <w:rsid w:val="31C0329F"/>
    <w:rsid w:val="31C47AE2"/>
    <w:rsid w:val="31C51E84"/>
    <w:rsid w:val="31C81974"/>
    <w:rsid w:val="31D01111"/>
    <w:rsid w:val="31E26DD0"/>
    <w:rsid w:val="31EA18EB"/>
    <w:rsid w:val="31F25E95"/>
    <w:rsid w:val="31F34EE6"/>
    <w:rsid w:val="31FB3AF8"/>
    <w:rsid w:val="320209E2"/>
    <w:rsid w:val="32075FF9"/>
    <w:rsid w:val="320C5601"/>
    <w:rsid w:val="320E382B"/>
    <w:rsid w:val="32130E41"/>
    <w:rsid w:val="32136ADD"/>
    <w:rsid w:val="3215664F"/>
    <w:rsid w:val="323D1A1A"/>
    <w:rsid w:val="323F60E0"/>
    <w:rsid w:val="32410D7E"/>
    <w:rsid w:val="324C3414"/>
    <w:rsid w:val="325517A0"/>
    <w:rsid w:val="32570855"/>
    <w:rsid w:val="32585395"/>
    <w:rsid w:val="325D3E6B"/>
    <w:rsid w:val="32613717"/>
    <w:rsid w:val="326351F9"/>
    <w:rsid w:val="32754CF2"/>
    <w:rsid w:val="3287538B"/>
    <w:rsid w:val="32892EB1"/>
    <w:rsid w:val="32964E8B"/>
    <w:rsid w:val="32A61AD2"/>
    <w:rsid w:val="32A76766"/>
    <w:rsid w:val="32A97FCE"/>
    <w:rsid w:val="32AE0770"/>
    <w:rsid w:val="32AF4A8A"/>
    <w:rsid w:val="32B819E9"/>
    <w:rsid w:val="32BB42A1"/>
    <w:rsid w:val="32BF2D77"/>
    <w:rsid w:val="32C47B0D"/>
    <w:rsid w:val="32C97752"/>
    <w:rsid w:val="32D37A29"/>
    <w:rsid w:val="32E620B2"/>
    <w:rsid w:val="32EE0F67"/>
    <w:rsid w:val="32F41A8F"/>
    <w:rsid w:val="32FA790B"/>
    <w:rsid w:val="3307371A"/>
    <w:rsid w:val="330E5059"/>
    <w:rsid w:val="332323A0"/>
    <w:rsid w:val="33260700"/>
    <w:rsid w:val="33294694"/>
    <w:rsid w:val="332A0021"/>
    <w:rsid w:val="332E3A59"/>
    <w:rsid w:val="3330157F"/>
    <w:rsid w:val="3333344C"/>
    <w:rsid w:val="33370B5F"/>
    <w:rsid w:val="33415945"/>
    <w:rsid w:val="334F5387"/>
    <w:rsid w:val="33552D94"/>
    <w:rsid w:val="33563860"/>
    <w:rsid w:val="335A484E"/>
    <w:rsid w:val="33620986"/>
    <w:rsid w:val="33684063"/>
    <w:rsid w:val="33791178"/>
    <w:rsid w:val="337A5FAB"/>
    <w:rsid w:val="33802506"/>
    <w:rsid w:val="338901E8"/>
    <w:rsid w:val="338D3F51"/>
    <w:rsid w:val="338E49F3"/>
    <w:rsid w:val="33A71A8D"/>
    <w:rsid w:val="33AF4B9A"/>
    <w:rsid w:val="33B0446E"/>
    <w:rsid w:val="33B95A18"/>
    <w:rsid w:val="33C30377"/>
    <w:rsid w:val="33CA3782"/>
    <w:rsid w:val="33D64A34"/>
    <w:rsid w:val="33D94FDC"/>
    <w:rsid w:val="33E81E5A"/>
    <w:rsid w:val="33EC2509"/>
    <w:rsid w:val="33F508A6"/>
    <w:rsid w:val="34014CC9"/>
    <w:rsid w:val="340A6274"/>
    <w:rsid w:val="341449FD"/>
    <w:rsid w:val="34186554"/>
    <w:rsid w:val="341B3FDD"/>
    <w:rsid w:val="342122C0"/>
    <w:rsid w:val="3431735D"/>
    <w:rsid w:val="34384B8F"/>
    <w:rsid w:val="3448551B"/>
    <w:rsid w:val="345C0152"/>
    <w:rsid w:val="34610250"/>
    <w:rsid w:val="346516FC"/>
    <w:rsid w:val="346C793A"/>
    <w:rsid w:val="346D5909"/>
    <w:rsid w:val="347100A1"/>
    <w:rsid w:val="34763909"/>
    <w:rsid w:val="348422A0"/>
    <w:rsid w:val="34871673"/>
    <w:rsid w:val="34880F47"/>
    <w:rsid w:val="34882FB8"/>
    <w:rsid w:val="348E2A01"/>
    <w:rsid w:val="34A22009"/>
    <w:rsid w:val="34A715A5"/>
    <w:rsid w:val="34A72487"/>
    <w:rsid w:val="34AE5ED7"/>
    <w:rsid w:val="34AF6504"/>
    <w:rsid w:val="34B34216"/>
    <w:rsid w:val="34BD5094"/>
    <w:rsid w:val="34C24459"/>
    <w:rsid w:val="34CB52C1"/>
    <w:rsid w:val="34CC13EE"/>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132A8"/>
    <w:rsid w:val="355E3CBE"/>
    <w:rsid w:val="35613C72"/>
    <w:rsid w:val="356279EA"/>
    <w:rsid w:val="356B689E"/>
    <w:rsid w:val="357C2F05"/>
    <w:rsid w:val="357C75E6"/>
    <w:rsid w:val="35832375"/>
    <w:rsid w:val="358A316B"/>
    <w:rsid w:val="35901FE7"/>
    <w:rsid w:val="3590706C"/>
    <w:rsid w:val="35A03298"/>
    <w:rsid w:val="35A46254"/>
    <w:rsid w:val="35A87AF3"/>
    <w:rsid w:val="35AE2C2F"/>
    <w:rsid w:val="35B20971"/>
    <w:rsid w:val="35BC274B"/>
    <w:rsid w:val="35C0308E"/>
    <w:rsid w:val="35C97A69"/>
    <w:rsid w:val="35CF4F0E"/>
    <w:rsid w:val="35D23C4B"/>
    <w:rsid w:val="35D94150"/>
    <w:rsid w:val="35DA4133"/>
    <w:rsid w:val="35DE051F"/>
    <w:rsid w:val="35DE31B8"/>
    <w:rsid w:val="35E07771"/>
    <w:rsid w:val="35E548A3"/>
    <w:rsid w:val="35F03248"/>
    <w:rsid w:val="35FA5E74"/>
    <w:rsid w:val="35FD055A"/>
    <w:rsid w:val="3600792F"/>
    <w:rsid w:val="3609071C"/>
    <w:rsid w:val="361E6007"/>
    <w:rsid w:val="36257395"/>
    <w:rsid w:val="362A675A"/>
    <w:rsid w:val="362C50F3"/>
    <w:rsid w:val="363475D8"/>
    <w:rsid w:val="363650FE"/>
    <w:rsid w:val="36372C24"/>
    <w:rsid w:val="36393C99"/>
    <w:rsid w:val="363F6260"/>
    <w:rsid w:val="364A067C"/>
    <w:rsid w:val="364D2448"/>
    <w:rsid w:val="365077E6"/>
    <w:rsid w:val="36511F38"/>
    <w:rsid w:val="36620A2A"/>
    <w:rsid w:val="366923C4"/>
    <w:rsid w:val="36785717"/>
    <w:rsid w:val="36847069"/>
    <w:rsid w:val="369462C9"/>
    <w:rsid w:val="369E0EF6"/>
    <w:rsid w:val="36AA5EF7"/>
    <w:rsid w:val="36B6623F"/>
    <w:rsid w:val="36BB5A02"/>
    <w:rsid w:val="36BF44BC"/>
    <w:rsid w:val="36CD6E4D"/>
    <w:rsid w:val="36D3294D"/>
    <w:rsid w:val="36D668E1"/>
    <w:rsid w:val="36D84407"/>
    <w:rsid w:val="36DF8D7D"/>
    <w:rsid w:val="36E1693A"/>
    <w:rsid w:val="36E92171"/>
    <w:rsid w:val="36EE59D9"/>
    <w:rsid w:val="36F01751"/>
    <w:rsid w:val="36F05718"/>
    <w:rsid w:val="36F16AE9"/>
    <w:rsid w:val="36F31241"/>
    <w:rsid w:val="36F33F1C"/>
    <w:rsid w:val="36F9612C"/>
    <w:rsid w:val="36FD1DF8"/>
    <w:rsid w:val="37027952"/>
    <w:rsid w:val="37092813"/>
    <w:rsid w:val="370F316F"/>
    <w:rsid w:val="37103BA1"/>
    <w:rsid w:val="37113475"/>
    <w:rsid w:val="371A67CE"/>
    <w:rsid w:val="37226D0E"/>
    <w:rsid w:val="372702D2"/>
    <w:rsid w:val="373A6628"/>
    <w:rsid w:val="37554EB5"/>
    <w:rsid w:val="37571B2F"/>
    <w:rsid w:val="375A306E"/>
    <w:rsid w:val="375A4E1C"/>
    <w:rsid w:val="375C0B95"/>
    <w:rsid w:val="37620175"/>
    <w:rsid w:val="376D0FF4"/>
    <w:rsid w:val="377759CE"/>
    <w:rsid w:val="377C2FE5"/>
    <w:rsid w:val="377C4D93"/>
    <w:rsid w:val="377FBC6A"/>
    <w:rsid w:val="378325C5"/>
    <w:rsid w:val="37904CE2"/>
    <w:rsid w:val="3790548B"/>
    <w:rsid w:val="37926D8D"/>
    <w:rsid w:val="379A1E45"/>
    <w:rsid w:val="379E11AD"/>
    <w:rsid w:val="379E5D0E"/>
    <w:rsid w:val="379F5B99"/>
    <w:rsid w:val="37A367C3"/>
    <w:rsid w:val="37A458F7"/>
    <w:rsid w:val="37A97B52"/>
    <w:rsid w:val="37B26A07"/>
    <w:rsid w:val="37B7226F"/>
    <w:rsid w:val="37BB687F"/>
    <w:rsid w:val="37C249A0"/>
    <w:rsid w:val="37C91FA2"/>
    <w:rsid w:val="37D03331"/>
    <w:rsid w:val="37D456E4"/>
    <w:rsid w:val="37D50947"/>
    <w:rsid w:val="37D74388"/>
    <w:rsid w:val="37D769AC"/>
    <w:rsid w:val="37D921E5"/>
    <w:rsid w:val="37DA5F5D"/>
    <w:rsid w:val="37DC695A"/>
    <w:rsid w:val="37DE37E1"/>
    <w:rsid w:val="37DF20DE"/>
    <w:rsid w:val="37DF3574"/>
    <w:rsid w:val="37E1553E"/>
    <w:rsid w:val="37E727ED"/>
    <w:rsid w:val="37EC5FD3"/>
    <w:rsid w:val="37ED4E25"/>
    <w:rsid w:val="37FA215C"/>
    <w:rsid w:val="37FC5ED4"/>
    <w:rsid w:val="38111241"/>
    <w:rsid w:val="382471D8"/>
    <w:rsid w:val="382C22E7"/>
    <w:rsid w:val="382F62A9"/>
    <w:rsid w:val="38305B7D"/>
    <w:rsid w:val="383438BF"/>
    <w:rsid w:val="384635F3"/>
    <w:rsid w:val="385E6B8E"/>
    <w:rsid w:val="38686159"/>
    <w:rsid w:val="3877074E"/>
    <w:rsid w:val="387737AC"/>
    <w:rsid w:val="387C7014"/>
    <w:rsid w:val="3885411B"/>
    <w:rsid w:val="38921239"/>
    <w:rsid w:val="389E2FF7"/>
    <w:rsid w:val="38AA327E"/>
    <w:rsid w:val="38B844F1"/>
    <w:rsid w:val="38B92017"/>
    <w:rsid w:val="38C033A5"/>
    <w:rsid w:val="38C2096A"/>
    <w:rsid w:val="38C5276A"/>
    <w:rsid w:val="38C74FF5"/>
    <w:rsid w:val="38CA494E"/>
    <w:rsid w:val="38CA5FD2"/>
    <w:rsid w:val="38D942CD"/>
    <w:rsid w:val="38D97FC3"/>
    <w:rsid w:val="38E726E0"/>
    <w:rsid w:val="38E83C52"/>
    <w:rsid w:val="38F65019"/>
    <w:rsid w:val="38FE19C3"/>
    <w:rsid w:val="38FE77AF"/>
    <w:rsid w:val="39052611"/>
    <w:rsid w:val="39061A6B"/>
    <w:rsid w:val="390A44D3"/>
    <w:rsid w:val="390C65EA"/>
    <w:rsid w:val="390E4110"/>
    <w:rsid w:val="39111E53"/>
    <w:rsid w:val="391A34DD"/>
    <w:rsid w:val="391B3E89"/>
    <w:rsid w:val="391B4A7F"/>
    <w:rsid w:val="391F631E"/>
    <w:rsid w:val="39241696"/>
    <w:rsid w:val="39273424"/>
    <w:rsid w:val="393D67A4"/>
    <w:rsid w:val="394144E6"/>
    <w:rsid w:val="39427657"/>
    <w:rsid w:val="395D29A2"/>
    <w:rsid w:val="39600BD1"/>
    <w:rsid w:val="39602492"/>
    <w:rsid w:val="396106E4"/>
    <w:rsid w:val="39677CC5"/>
    <w:rsid w:val="39700927"/>
    <w:rsid w:val="397A17A6"/>
    <w:rsid w:val="39A237FE"/>
    <w:rsid w:val="39A6138E"/>
    <w:rsid w:val="39B527DE"/>
    <w:rsid w:val="39BC0B7E"/>
    <w:rsid w:val="39BC2C84"/>
    <w:rsid w:val="39C24EFB"/>
    <w:rsid w:val="39D215E2"/>
    <w:rsid w:val="39DC1F22"/>
    <w:rsid w:val="39E35A89"/>
    <w:rsid w:val="39E9692C"/>
    <w:rsid w:val="39ED1F78"/>
    <w:rsid w:val="39F50E2C"/>
    <w:rsid w:val="39F5444A"/>
    <w:rsid w:val="3A073C4A"/>
    <w:rsid w:val="3A2611D5"/>
    <w:rsid w:val="3A2F4EFB"/>
    <w:rsid w:val="3A3B366F"/>
    <w:rsid w:val="3A437DEA"/>
    <w:rsid w:val="3A4A561C"/>
    <w:rsid w:val="3A4A73CA"/>
    <w:rsid w:val="3A543444"/>
    <w:rsid w:val="3A5468F0"/>
    <w:rsid w:val="3A565A92"/>
    <w:rsid w:val="3A62494E"/>
    <w:rsid w:val="3A6402D8"/>
    <w:rsid w:val="3A6B26F1"/>
    <w:rsid w:val="3A6D130B"/>
    <w:rsid w:val="3A6D4E67"/>
    <w:rsid w:val="3A6F93E2"/>
    <w:rsid w:val="3A78307D"/>
    <w:rsid w:val="3A803482"/>
    <w:rsid w:val="3A8226B7"/>
    <w:rsid w:val="3A8F2034"/>
    <w:rsid w:val="3A907024"/>
    <w:rsid w:val="3A992100"/>
    <w:rsid w:val="3A995C5C"/>
    <w:rsid w:val="3A9D739F"/>
    <w:rsid w:val="3AA06FEA"/>
    <w:rsid w:val="3AA5121F"/>
    <w:rsid w:val="3ABC194A"/>
    <w:rsid w:val="3ABC4F58"/>
    <w:rsid w:val="3ABDBD39"/>
    <w:rsid w:val="3AD244C6"/>
    <w:rsid w:val="3AD4054D"/>
    <w:rsid w:val="3AE10910"/>
    <w:rsid w:val="3AE61666"/>
    <w:rsid w:val="3AE670D0"/>
    <w:rsid w:val="3AF7219B"/>
    <w:rsid w:val="3AFA4E66"/>
    <w:rsid w:val="3B0E6D2D"/>
    <w:rsid w:val="3B225C51"/>
    <w:rsid w:val="3B2E76B7"/>
    <w:rsid w:val="3B4F7FC0"/>
    <w:rsid w:val="3B6303AB"/>
    <w:rsid w:val="3B691AD2"/>
    <w:rsid w:val="3B6C3370"/>
    <w:rsid w:val="3B6E533A"/>
    <w:rsid w:val="3B705572"/>
    <w:rsid w:val="3B714E2B"/>
    <w:rsid w:val="3B7D6A70"/>
    <w:rsid w:val="3B7F6615"/>
    <w:rsid w:val="3B8C3A12"/>
    <w:rsid w:val="3B9A7EDD"/>
    <w:rsid w:val="3B9B4A46"/>
    <w:rsid w:val="3B9F54F4"/>
    <w:rsid w:val="3BA725FA"/>
    <w:rsid w:val="3BAC527C"/>
    <w:rsid w:val="3BB03EA1"/>
    <w:rsid w:val="3BB56AC5"/>
    <w:rsid w:val="3BB942D0"/>
    <w:rsid w:val="3BBE247C"/>
    <w:rsid w:val="3BBF16F2"/>
    <w:rsid w:val="3BC136BC"/>
    <w:rsid w:val="3BC35686"/>
    <w:rsid w:val="3BC751DB"/>
    <w:rsid w:val="3BD01B51"/>
    <w:rsid w:val="3BD21844"/>
    <w:rsid w:val="3BDB4052"/>
    <w:rsid w:val="3BDB5A22"/>
    <w:rsid w:val="3BE63123"/>
    <w:rsid w:val="3BEF4334"/>
    <w:rsid w:val="3BF176A1"/>
    <w:rsid w:val="3BF21AC7"/>
    <w:rsid w:val="3BF32D1F"/>
    <w:rsid w:val="3BF4434D"/>
    <w:rsid w:val="3BF80112"/>
    <w:rsid w:val="3BF9FF42"/>
    <w:rsid w:val="3BFF5005"/>
    <w:rsid w:val="3BFF9F95"/>
    <w:rsid w:val="3C072F0D"/>
    <w:rsid w:val="3C2D0D52"/>
    <w:rsid w:val="3C4147FD"/>
    <w:rsid w:val="3C487939"/>
    <w:rsid w:val="3C4B0050"/>
    <w:rsid w:val="3C53062C"/>
    <w:rsid w:val="3C533473"/>
    <w:rsid w:val="3C544530"/>
    <w:rsid w:val="3C5750D0"/>
    <w:rsid w:val="3C597D99"/>
    <w:rsid w:val="3C5BB11A"/>
    <w:rsid w:val="3C611042"/>
    <w:rsid w:val="3C6D114E"/>
    <w:rsid w:val="3C6D55F2"/>
    <w:rsid w:val="3C770CC6"/>
    <w:rsid w:val="3C7F7112"/>
    <w:rsid w:val="3C834E15"/>
    <w:rsid w:val="3C8360C6"/>
    <w:rsid w:val="3C887370"/>
    <w:rsid w:val="3C8A1D00"/>
    <w:rsid w:val="3C8A2BDD"/>
    <w:rsid w:val="3C9169E0"/>
    <w:rsid w:val="3C9A2260"/>
    <w:rsid w:val="3C9B0273"/>
    <w:rsid w:val="3CA408E8"/>
    <w:rsid w:val="3CA51213"/>
    <w:rsid w:val="3CA803D8"/>
    <w:rsid w:val="3CC81218"/>
    <w:rsid w:val="3CD31F26"/>
    <w:rsid w:val="3CD92C87"/>
    <w:rsid w:val="3CDFDA6E"/>
    <w:rsid w:val="3CE33B06"/>
    <w:rsid w:val="3CED6733"/>
    <w:rsid w:val="3CF12590"/>
    <w:rsid w:val="3CF7E3B0"/>
    <w:rsid w:val="3CF96E86"/>
    <w:rsid w:val="3CFB0E50"/>
    <w:rsid w:val="3CFE5D89"/>
    <w:rsid w:val="3D0221DE"/>
    <w:rsid w:val="3D0715A3"/>
    <w:rsid w:val="3D0777F5"/>
    <w:rsid w:val="3D08531B"/>
    <w:rsid w:val="3D127F47"/>
    <w:rsid w:val="3D204412"/>
    <w:rsid w:val="3D393726"/>
    <w:rsid w:val="3D3A716B"/>
    <w:rsid w:val="3D3F6F8E"/>
    <w:rsid w:val="3D430101"/>
    <w:rsid w:val="3D436353"/>
    <w:rsid w:val="3D4D47C3"/>
    <w:rsid w:val="3D5440BC"/>
    <w:rsid w:val="3D606F05"/>
    <w:rsid w:val="3D6C3AFB"/>
    <w:rsid w:val="3D7D4F5E"/>
    <w:rsid w:val="3D804EB1"/>
    <w:rsid w:val="3D874491"/>
    <w:rsid w:val="3D891FB8"/>
    <w:rsid w:val="3D8F1598"/>
    <w:rsid w:val="3D9170BE"/>
    <w:rsid w:val="3D932E36"/>
    <w:rsid w:val="3DA70690"/>
    <w:rsid w:val="3DA72718"/>
    <w:rsid w:val="3DA908AC"/>
    <w:rsid w:val="3DBE0B4C"/>
    <w:rsid w:val="3DC54FBA"/>
    <w:rsid w:val="3DCB3446"/>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3C527C"/>
    <w:rsid w:val="3E4A5A01"/>
    <w:rsid w:val="3E500D27"/>
    <w:rsid w:val="3E530817"/>
    <w:rsid w:val="3E541B20"/>
    <w:rsid w:val="3E5C2E71"/>
    <w:rsid w:val="3E6807DB"/>
    <w:rsid w:val="3E6F4B9A"/>
    <w:rsid w:val="3E7F33BB"/>
    <w:rsid w:val="3E834880"/>
    <w:rsid w:val="3E853C97"/>
    <w:rsid w:val="3E907376"/>
    <w:rsid w:val="3E921340"/>
    <w:rsid w:val="3E9450B8"/>
    <w:rsid w:val="3EA03A5D"/>
    <w:rsid w:val="3EBBE5D2"/>
    <w:rsid w:val="3EBD31E5"/>
    <w:rsid w:val="3EC3599D"/>
    <w:rsid w:val="3ED656D0"/>
    <w:rsid w:val="3ED87E4C"/>
    <w:rsid w:val="3EDE27D7"/>
    <w:rsid w:val="3EE651E8"/>
    <w:rsid w:val="3EEC4EF4"/>
    <w:rsid w:val="3EF64C1F"/>
    <w:rsid w:val="3EF92E5D"/>
    <w:rsid w:val="3EFA5B79"/>
    <w:rsid w:val="3EFB2499"/>
    <w:rsid w:val="3EFE614D"/>
    <w:rsid w:val="3EFEF4BD"/>
    <w:rsid w:val="3F010273"/>
    <w:rsid w:val="3F0563ED"/>
    <w:rsid w:val="3F0833B0"/>
    <w:rsid w:val="3F220916"/>
    <w:rsid w:val="3F243ABF"/>
    <w:rsid w:val="3F2A77CA"/>
    <w:rsid w:val="3F2D72BA"/>
    <w:rsid w:val="3F373C95"/>
    <w:rsid w:val="3F376A69"/>
    <w:rsid w:val="3F3E3276"/>
    <w:rsid w:val="3F454604"/>
    <w:rsid w:val="3F47212A"/>
    <w:rsid w:val="3F4A7E6C"/>
    <w:rsid w:val="3F4E607F"/>
    <w:rsid w:val="3F4E6449"/>
    <w:rsid w:val="3F4F0FDF"/>
    <w:rsid w:val="3F4F42A7"/>
    <w:rsid w:val="3F520ACF"/>
    <w:rsid w:val="3F5A4F0B"/>
    <w:rsid w:val="3F6A5E19"/>
    <w:rsid w:val="3F6A7BC7"/>
    <w:rsid w:val="3F6C7DE3"/>
    <w:rsid w:val="3F760C61"/>
    <w:rsid w:val="3F771878"/>
    <w:rsid w:val="3F779E02"/>
    <w:rsid w:val="3F79605C"/>
    <w:rsid w:val="3F7D3D9E"/>
    <w:rsid w:val="3F7F9605"/>
    <w:rsid w:val="3F870779"/>
    <w:rsid w:val="3F90C9C7"/>
    <w:rsid w:val="3F981C54"/>
    <w:rsid w:val="3F9904AC"/>
    <w:rsid w:val="3FA330D9"/>
    <w:rsid w:val="3FA57874"/>
    <w:rsid w:val="3FAC01DF"/>
    <w:rsid w:val="3FAE03FB"/>
    <w:rsid w:val="3FB53538"/>
    <w:rsid w:val="3FB7E63A"/>
    <w:rsid w:val="3FBAD7F1"/>
    <w:rsid w:val="3FBBDF25"/>
    <w:rsid w:val="3FBD23C0"/>
    <w:rsid w:val="3FC512A1"/>
    <w:rsid w:val="3FC65745"/>
    <w:rsid w:val="3FCDC299"/>
    <w:rsid w:val="3FCEED26"/>
    <w:rsid w:val="3FD91DCF"/>
    <w:rsid w:val="3FDA11F0"/>
    <w:rsid w:val="3FDD65EB"/>
    <w:rsid w:val="3FDE10EE"/>
    <w:rsid w:val="3FDE717E"/>
    <w:rsid w:val="3FDF239A"/>
    <w:rsid w:val="3FDFFAB3"/>
    <w:rsid w:val="3FE1257F"/>
    <w:rsid w:val="3FE78F4C"/>
    <w:rsid w:val="3FECD332"/>
    <w:rsid w:val="3FED0E5F"/>
    <w:rsid w:val="3FEFFACE"/>
    <w:rsid w:val="3FF74CD3"/>
    <w:rsid w:val="3FFE71BE"/>
    <w:rsid w:val="3FFF61E2"/>
    <w:rsid w:val="3FFF761B"/>
    <w:rsid w:val="3FFF9C09"/>
    <w:rsid w:val="3FFFCE42"/>
    <w:rsid w:val="4004382A"/>
    <w:rsid w:val="400B13AA"/>
    <w:rsid w:val="400B75FC"/>
    <w:rsid w:val="400C5122"/>
    <w:rsid w:val="400E49F6"/>
    <w:rsid w:val="40104C12"/>
    <w:rsid w:val="40155D85"/>
    <w:rsid w:val="401751C6"/>
    <w:rsid w:val="40271F5C"/>
    <w:rsid w:val="40307062"/>
    <w:rsid w:val="40363F4D"/>
    <w:rsid w:val="40387CC5"/>
    <w:rsid w:val="40450B2D"/>
    <w:rsid w:val="40491ED2"/>
    <w:rsid w:val="406010FB"/>
    <w:rsid w:val="4061721C"/>
    <w:rsid w:val="40644F5E"/>
    <w:rsid w:val="40692574"/>
    <w:rsid w:val="406C4A22"/>
    <w:rsid w:val="4081341A"/>
    <w:rsid w:val="409749EB"/>
    <w:rsid w:val="409C0254"/>
    <w:rsid w:val="40A23390"/>
    <w:rsid w:val="40A35A86"/>
    <w:rsid w:val="40A43FE1"/>
    <w:rsid w:val="40AA2BC7"/>
    <w:rsid w:val="40AF10F4"/>
    <w:rsid w:val="40B7508E"/>
    <w:rsid w:val="40BF3F42"/>
    <w:rsid w:val="40C17CBA"/>
    <w:rsid w:val="40CD253B"/>
    <w:rsid w:val="40CD2C30"/>
    <w:rsid w:val="40DB4F03"/>
    <w:rsid w:val="410302D3"/>
    <w:rsid w:val="41151699"/>
    <w:rsid w:val="412D5350"/>
    <w:rsid w:val="41384420"/>
    <w:rsid w:val="41391F47"/>
    <w:rsid w:val="413C37E5"/>
    <w:rsid w:val="413D1A37"/>
    <w:rsid w:val="413E57AF"/>
    <w:rsid w:val="41434B73"/>
    <w:rsid w:val="41452699"/>
    <w:rsid w:val="414B1AB2"/>
    <w:rsid w:val="414F176A"/>
    <w:rsid w:val="415154E2"/>
    <w:rsid w:val="41523008"/>
    <w:rsid w:val="41550197"/>
    <w:rsid w:val="415D64DE"/>
    <w:rsid w:val="41682F2E"/>
    <w:rsid w:val="41727207"/>
    <w:rsid w:val="417845B6"/>
    <w:rsid w:val="417B430D"/>
    <w:rsid w:val="41801923"/>
    <w:rsid w:val="4193340B"/>
    <w:rsid w:val="41990C37"/>
    <w:rsid w:val="41A05B22"/>
    <w:rsid w:val="41A25D3E"/>
    <w:rsid w:val="41A978DB"/>
    <w:rsid w:val="41AE46E3"/>
    <w:rsid w:val="41B4781F"/>
    <w:rsid w:val="41BE244C"/>
    <w:rsid w:val="41C236CA"/>
    <w:rsid w:val="41C37A62"/>
    <w:rsid w:val="41CF23CD"/>
    <w:rsid w:val="41D103D1"/>
    <w:rsid w:val="41D168E3"/>
    <w:rsid w:val="41D61543"/>
    <w:rsid w:val="41D72BC4"/>
    <w:rsid w:val="41E06866"/>
    <w:rsid w:val="41E579D9"/>
    <w:rsid w:val="41E80D5B"/>
    <w:rsid w:val="41FB36A0"/>
    <w:rsid w:val="42010CB6"/>
    <w:rsid w:val="422D3E85"/>
    <w:rsid w:val="422E5823"/>
    <w:rsid w:val="423E37F0"/>
    <w:rsid w:val="423F17DF"/>
    <w:rsid w:val="4243519E"/>
    <w:rsid w:val="42500727"/>
    <w:rsid w:val="4251506E"/>
    <w:rsid w:val="42537CE6"/>
    <w:rsid w:val="425A0F71"/>
    <w:rsid w:val="42613AF4"/>
    <w:rsid w:val="42664FBD"/>
    <w:rsid w:val="426B25D4"/>
    <w:rsid w:val="42707E35"/>
    <w:rsid w:val="42785676"/>
    <w:rsid w:val="42814CA0"/>
    <w:rsid w:val="4286740D"/>
    <w:rsid w:val="4292190E"/>
    <w:rsid w:val="429F402B"/>
    <w:rsid w:val="42A258CA"/>
    <w:rsid w:val="42A31D6D"/>
    <w:rsid w:val="42A4462D"/>
    <w:rsid w:val="42B1052C"/>
    <w:rsid w:val="42BA2C13"/>
    <w:rsid w:val="42BC2E2F"/>
    <w:rsid w:val="42BC3382"/>
    <w:rsid w:val="42CD2946"/>
    <w:rsid w:val="42D16E5E"/>
    <w:rsid w:val="42D75573"/>
    <w:rsid w:val="42DC247D"/>
    <w:rsid w:val="42F02E93"/>
    <w:rsid w:val="42F563BE"/>
    <w:rsid w:val="43012E27"/>
    <w:rsid w:val="430A6B5A"/>
    <w:rsid w:val="431C567C"/>
    <w:rsid w:val="432D197A"/>
    <w:rsid w:val="432F53AF"/>
    <w:rsid w:val="433D63B6"/>
    <w:rsid w:val="435B016E"/>
    <w:rsid w:val="435B2648"/>
    <w:rsid w:val="43617533"/>
    <w:rsid w:val="436A288B"/>
    <w:rsid w:val="4374370A"/>
    <w:rsid w:val="4376F5CB"/>
    <w:rsid w:val="437D25BE"/>
    <w:rsid w:val="43882D11"/>
    <w:rsid w:val="438D20D6"/>
    <w:rsid w:val="438F1AD4"/>
    <w:rsid w:val="43941FDA"/>
    <w:rsid w:val="43A1468D"/>
    <w:rsid w:val="43A708F0"/>
    <w:rsid w:val="43AA712C"/>
    <w:rsid w:val="43AD4526"/>
    <w:rsid w:val="43B35F95"/>
    <w:rsid w:val="43BE25BE"/>
    <w:rsid w:val="43BE4985"/>
    <w:rsid w:val="43C006FD"/>
    <w:rsid w:val="43C81360"/>
    <w:rsid w:val="43CE4CBB"/>
    <w:rsid w:val="43D16466"/>
    <w:rsid w:val="43D71F9A"/>
    <w:rsid w:val="43D877F5"/>
    <w:rsid w:val="43D91B38"/>
    <w:rsid w:val="43EA577A"/>
    <w:rsid w:val="43EC504E"/>
    <w:rsid w:val="44006983"/>
    <w:rsid w:val="4416253F"/>
    <w:rsid w:val="44217FF5"/>
    <w:rsid w:val="442B6866"/>
    <w:rsid w:val="442C7B41"/>
    <w:rsid w:val="443D58AA"/>
    <w:rsid w:val="443F7874"/>
    <w:rsid w:val="444078CC"/>
    <w:rsid w:val="444E4F44"/>
    <w:rsid w:val="444F2009"/>
    <w:rsid w:val="4459123A"/>
    <w:rsid w:val="445A645C"/>
    <w:rsid w:val="44626CE7"/>
    <w:rsid w:val="44775260"/>
    <w:rsid w:val="447A6AFE"/>
    <w:rsid w:val="447B4624"/>
    <w:rsid w:val="447F2366"/>
    <w:rsid w:val="4483305F"/>
    <w:rsid w:val="44971C68"/>
    <w:rsid w:val="449C4CC6"/>
    <w:rsid w:val="44A616A1"/>
    <w:rsid w:val="44AB315B"/>
    <w:rsid w:val="44B10046"/>
    <w:rsid w:val="44B87626"/>
    <w:rsid w:val="44BA6EFA"/>
    <w:rsid w:val="44C766B3"/>
    <w:rsid w:val="44DC072C"/>
    <w:rsid w:val="44DE708D"/>
    <w:rsid w:val="44E4041B"/>
    <w:rsid w:val="44ED72D0"/>
    <w:rsid w:val="44F97EC4"/>
    <w:rsid w:val="44FE760D"/>
    <w:rsid w:val="450D7972"/>
    <w:rsid w:val="452829E7"/>
    <w:rsid w:val="45285204"/>
    <w:rsid w:val="453F23E9"/>
    <w:rsid w:val="45401AF6"/>
    <w:rsid w:val="454060D8"/>
    <w:rsid w:val="45435142"/>
    <w:rsid w:val="45480448"/>
    <w:rsid w:val="454809AA"/>
    <w:rsid w:val="454F3AE7"/>
    <w:rsid w:val="4550160D"/>
    <w:rsid w:val="455C4456"/>
    <w:rsid w:val="457F1844"/>
    <w:rsid w:val="45815C6A"/>
    <w:rsid w:val="458614D2"/>
    <w:rsid w:val="458E4348"/>
    <w:rsid w:val="45950612"/>
    <w:rsid w:val="459C013A"/>
    <w:rsid w:val="45A1630C"/>
    <w:rsid w:val="45A23CFB"/>
    <w:rsid w:val="45AA6F6F"/>
    <w:rsid w:val="45BB73CE"/>
    <w:rsid w:val="45BD3146"/>
    <w:rsid w:val="45C0528B"/>
    <w:rsid w:val="45CC5137"/>
    <w:rsid w:val="45CE588F"/>
    <w:rsid w:val="45D93CF8"/>
    <w:rsid w:val="45DC5246"/>
    <w:rsid w:val="45E05087"/>
    <w:rsid w:val="45ED50AE"/>
    <w:rsid w:val="45EE1552"/>
    <w:rsid w:val="45F55910"/>
    <w:rsid w:val="45FB3C6E"/>
    <w:rsid w:val="45FE550D"/>
    <w:rsid w:val="460103E6"/>
    <w:rsid w:val="46032E8D"/>
    <w:rsid w:val="46164604"/>
    <w:rsid w:val="462F148B"/>
    <w:rsid w:val="464A2500"/>
    <w:rsid w:val="464B23B3"/>
    <w:rsid w:val="4651154E"/>
    <w:rsid w:val="466B2BA2"/>
    <w:rsid w:val="466E4440"/>
    <w:rsid w:val="46737CA9"/>
    <w:rsid w:val="468769E1"/>
    <w:rsid w:val="46965745"/>
    <w:rsid w:val="469836F5"/>
    <w:rsid w:val="46A55352"/>
    <w:rsid w:val="46A56CC0"/>
    <w:rsid w:val="46B06893"/>
    <w:rsid w:val="46BA7686"/>
    <w:rsid w:val="46D00C57"/>
    <w:rsid w:val="46DA1AD6"/>
    <w:rsid w:val="46DF1886"/>
    <w:rsid w:val="46E06E25"/>
    <w:rsid w:val="46E25E2C"/>
    <w:rsid w:val="46E44703"/>
    <w:rsid w:val="46EA56DB"/>
    <w:rsid w:val="46EA5713"/>
    <w:rsid w:val="46EC2FAB"/>
    <w:rsid w:val="46FA2178"/>
    <w:rsid w:val="46FA5CD4"/>
    <w:rsid w:val="47135EB8"/>
    <w:rsid w:val="47136072"/>
    <w:rsid w:val="47241D78"/>
    <w:rsid w:val="4729480B"/>
    <w:rsid w:val="473F5DDD"/>
    <w:rsid w:val="47451645"/>
    <w:rsid w:val="474E7DCE"/>
    <w:rsid w:val="475A358F"/>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93B3C"/>
    <w:rsid w:val="47DE7EE8"/>
    <w:rsid w:val="47DF88D5"/>
    <w:rsid w:val="47E10211"/>
    <w:rsid w:val="47E30789"/>
    <w:rsid w:val="47ED2D5B"/>
    <w:rsid w:val="47F24BFD"/>
    <w:rsid w:val="47F60B91"/>
    <w:rsid w:val="47F72214"/>
    <w:rsid w:val="47FE7A46"/>
    <w:rsid w:val="47FFB856"/>
    <w:rsid w:val="4803505C"/>
    <w:rsid w:val="48037101"/>
    <w:rsid w:val="480706A9"/>
    <w:rsid w:val="480865AC"/>
    <w:rsid w:val="481A184C"/>
    <w:rsid w:val="481D7ECC"/>
    <w:rsid w:val="48217291"/>
    <w:rsid w:val="48270D4B"/>
    <w:rsid w:val="482A48FE"/>
    <w:rsid w:val="482E3254"/>
    <w:rsid w:val="483515BE"/>
    <w:rsid w:val="48376AB4"/>
    <w:rsid w:val="48564021"/>
    <w:rsid w:val="485853A8"/>
    <w:rsid w:val="486FB1D0"/>
    <w:rsid w:val="48741AB6"/>
    <w:rsid w:val="48764738"/>
    <w:rsid w:val="487F78EF"/>
    <w:rsid w:val="48895562"/>
    <w:rsid w:val="488E2B78"/>
    <w:rsid w:val="48965ED0"/>
    <w:rsid w:val="489A776F"/>
    <w:rsid w:val="489D74E4"/>
    <w:rsid w:val="48A51C70"/>
    <w:rsid w:val="48A97D2E"/>
    <w:rsid w:val="48AB570C"/>
    <w:rsid w:val="48AD78AC"/>
    <w:rsid w:val="48B545A9"/>
    <w:rsid w:val="48BD345D"/>
    <w:rsid w:val="48C26CC5"/>
    <w:rsid w:val="48CF7385"/>
    <w:rsid w:val="48D013E2"/>
    <w:rsid w:val="48D11064"/>
    <w:rsid w:val="48D16F09"/>
    <w:rsid w:val="48D2515B"/>
    <w:rsid w:val="48D367DD"/>
    <w:rsid w:val="48D83DF3"/>
    <w:rsid w:val="48DF9B51"/>
    <w:rsid w:val="48E24C72"/>
    <w:rsid w:val="48E72288"/>
    <w:rsid w:val="48FA020D"/>
    <w:rsid w:val="48FF54C6"/>
    <w:rsid w:val="49022255"/>
    <w:rsid w:val="49141B22"/>
    <w:rsid w:val="4916491B"/>
    <w:rsid w:val="491C794F"/>
    <w:rsid w:val="491D0E0D"/>
    <w:rsid w:val="492359B6"/>
    <w:rsid w:val="49357497"/>
    <w:rsid w:val="49396F88"/>
    <w:rsid w:val="493D634C"/>
    <w:rsid w:val="493F3E72"/>
    <w:rsid w:val="494E4BF6"/>
    <w:rsid w:val="49535B70"/>
    <w:rsid w:val="4953791E"/>
    <w:rsid w:val="496078E9"/>
    <w:rsid w:val="49631B71"/>
    <w:rsid w:val="496F2E7F"/>
    <w:rsid w:val="49747FC0"/>
    <w:rsid w:val="497A528F"/>
    <w:rsid w:val="498D2E30"/>
    <w:rsid w:val="49975BCE"/>
    <w:rsid w:val="499A16F3"/>
    <w:rsid w:val="499E503D"/>
    <w:rsid w:val="49A14B2D"/>
    <w:rsid w:val="49B22896"/>
    <w:rsid w:val="49B74350"/>
    <w:rsid w:val="49C0125A"/>
    <w:rsid w:val="49C820BA"/>
    <w:rsid w:val="49D85702"/>
    <w:rsid w:val="49D95ED1"/>
    <w:rsid w:val="49DC5B65"/>
    <w:rsid w:val="49DE7F41"/>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2B73D2"/>
    <w:rsid w:val="4A343701"/>
    <w:rsid w:val="4A3B288C"/>
    <w:rsid w:val="4A4200BE"/>
    <w:rsid w:val="4A463ED2"/>
    <w:rsid w:val="4A547DF1"/>
    <w:rsid w:val="4A5C6177"/>
    <w:rsid w:val="4A6A13C3"/>
    <w:rsid w:val="4A6C513B"/>
    <w:rsid w:val="4A742241"/>
    <w:rsid w:val="4A752C5B"/>
    <w:rsid w:val="4A7933B4"/>
    <w:rsid w:val="4A8561FD"/>
    <w:rsid w:val="4A9401EE"/>
    <w:rsid w:val="4A98521F"/>
    <w:rsid w:val="4A9E015E"/>
    <w:rsid w:val="4A9E2E1A"/>
    <w:rsid w:val="4AA20B5D"/>
    <w:rsid w:val="4AA258AB"/>
    <w:rsid w:val="4AA76173"/>
    <w:rsid w:val="4AAC19DB"/>
    <w:rsid w:val="4AB02606"/>
    <w:rsid w:val="4AB5384C"/>
    <w:rsid w:val="4AB70571"/>
    <w:rsid w:val="4AC62843"/>
    <w:rsid w:val="4ADF3CAD"/>
    <w:rsid w:val="4AE50A49"/>
    <w:rsid w:val="4AE7656F"/>
    <w:rsid w:val="4AE802F1"/>
    <w:rsid w:val="4AFB026D"/>
    <w:rsid w:val="4AFD5315"/>
    <w:rsid w:val="4B0233A9"/>
    <w:rsid w:val="4B082FDE"/>
    <w:rsid w:val="4B137068"/>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AF3531"/>
    <w:rsid w:val="4BB5666E"/>
    <w:rsid w:val="4BB85BF2"/>
    <w:rsid w:val="4BCF3BD3"/>
    <w:rsid w:val="4BD7D080"/>
    <w:rsid w:val="4BDC009E"/>
    <w:rsid w:val="4BDC3BFA"/>
    <w:rsid w:val="4BE43C24"/>
    <w:rsid w:val="4BF70A34"/>
    <w:rsid w:val="4BF74ED8"/>
    <w:rsid w:val="4BFBF060"/>
    <w:rsid w:val="4BFECABF"/>
    <w:rsid w:val="4BFFF18B"/>
    <w:rsid w:val="4C013661"/>
    <w:rsid w:val="4C107D48"/>
    <w:rsid w:val="4C1710D6"/>
    <w:rsid w:val="4C1D0044"/>
    <w:rsid w:val="4C1E4244"/>
    <w:rsid w:val="4C261064"/>
    <w:rsid w:val="4C2D3C0D"/>
    <w:rsid w:val="4C327580"/>
    <w:rsid w:val="4C37699C"/>
    <w:rsid w:val="4C3B3017"/>
    <w:rsid w:val="4C4579F1"/>
    <w:rsid w:val="4C4719BC"/>
    <w:rsid w:val="4C5916EF"/>
    <w:rsid w:val="4C5D11DF"/>
    <w:rsid w:val="4C6523CA"/>
    <w:rsid w:val="4C687AA8"/>
    <w:rsid w:val="4C714C8A"/>
    <w:rsid w:val="4C724422"/>
    <w:rsid w:val="4C7B1665"/>
    <w:rsid w:val="4C7C718B"/>
    <w:rsid w:val="4C8B5D1D"/>
    <w:rsid w:val="4C95008C"/>
    <w:rsid w:val="4CA95B79"/>
    <w:rsid w:val="4CB42DC9"/>
    <w:rsid w:val="4CC0176E"/>
    <w:rsid w:val="4CC90D88"/>
    <w:rsid w:val="4CCF19B1"/>
    <w:rsid w:val="4CDA22D7"/>
    <w:rsid w:val="4CF338F1"/>
    <w:rsid w:val="4CFF2F14"/>
    <w:rsid w:val="4D054A99"/>
    <w:rsid w:val="4D0B0C3B"/>
    <w:rsid w:val="4D0E1E95"/>
    <w:rsid w:val="4D106251"/>
    <w:rsid w:val="4D135D42"/>
    <w:rsid w:val="4D27359B"/>
    <w:rsid w:val="4D2F4299"/>
    <w:rsid w:val="4D355CB8"/>
    <w:rsid w:val="4D4B1038"/>
    <w:rsid w:val="4D4E1E90"/>
    <w:rsid w:val="4D664D3B"/>
    <w:rsid w:val="4D693BB4"/>
    <w:rsid w:val="4D6B3488"/>
    <w:rsid w:val="4D7D22A3"/>
    <w:rsid w:val="4D7E0DAB"/>
    <w:rsid w:val="4D8409ED"/>
    <w:rsid w:val="4DA25E52"/>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B0E69"/>
    <w:rsid w:val="4E320449"/>
    <w:rsid w:val="4E3715BC"/>
    <w:rsid w:val="4E3917D8"/>
    <w:rsid w:val="4E402B66"/>
    <w:rsid w:val="4E5151A3"/>
    <w:rsid w:val="4E52289A"/>
    <w:rsid w:val="4E5376DC"/>
    <w:rsid w:val="4E67723F"/>
    <w:rsid w:val="4E6F6FA8"/>
    <w:rsid w:val="4E7CBBA0"/>
    <w:rsid w:val="4E8441C7"/>
    <w:rsid w:val="4E8D742E"/>
    <w:rsid w:val="4E9C58C3"/>
    <w:rsid w:val="4E9D5F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EA2AD2"/>
    <w:rsid w:val="4EEF633A"/>
    <w:rsid w:val="4EEF78F4"/>
    <w:rsid w:val="4F082F58"/>
    <w:rsid w:val="4F165675"/>
    <w:rsid w:val="4F22226C"/>
    <w:rsid w:val="4F28465E"/>
    <w:rsid w:val="4F407255"/>
    <w:rsid w:val="4F6505F9"/>
    <w:rsid w:val="4F6E725F"/>
    <w:rsid w:val="4F760C0C"/>
    <w:rsid w:val="4F76246D"/>
    <w:rsid w:val="4F7722F8"/>
    <w:rsid w:val="4F7A5C04"/>
    <w:rsid w:val="4F9A46E8"/>
    <w:rsid w:val="4F9D31CA"/>
    <w:rsid w:val="4F9F4271"/>
    <w:rsid w:val="4FAE1D52"/>
    <w:rsid w:val="4FB91B07"/>
    <w:rsid w:val="4FBA002E"/>
    <w:rsid w:val="4FBC446F"/>
    <w:rsid w:val="4FBD1F95"/>
    <w:rsid w:val="4FCB2904"/>
    <w:rsid w:val="4FCC21D8"/>
    <w:rsid w:val="4FD516E5"/>
    <w:rsid w:val="4FDBE75C"/>
    <w:rsid w:val="4FDC066D"/>
    <w:rsid w:val="4FED4628"/>
    <w:rsid w:val="4FF71E65"/>
    <w:rsid w:val="4FF72B12"/>
    <w:rsid w:val="4FFBB516"/>
    <w:rsid w:val="4FFE73E9"/>
    <w:rsid w:val="4FFF25AD"/>
    <w:rsid w:val="4FFF27A4"/>
    <w:rsid w:val="4FFFF8EC"/>
    <w:rsid w:val="5003209D"/>
    <w:rsid w:val="500D6A78"/>
    <w:rsid w:val="501064BB"/>
    <w:rsid w:val="501F0559"/>
    <w:rsid w:val="50203983"/>
    <w:rsid w:val="502618E8"/>
    <w:rsid w:val="502C78BD"/>
    <w:rsid w:val="503404A9"/>
    <w:rsid w:val="50344E97"/>
    <w:rsid w:val="503C1837"/>
    <w:rsid w:val="50403624"/>
    <w:rsid w:val="50544AFE"/>
    <w:rsid w:val="50812FC2"/>
    <w:rsid w:val="508B5BEF"/>
    <w:rsid w:val="50902B5C"/>
    <w:rsid w:val="509C604E"/>
    <w:rsid w:val="509F0715"/>
    <w:rsid w:val="50A078EC"/>
    <w:rsid w:val="50A66D16"/>
    <w:rsid w:val="50A849F3"/>
    <w:rsid w:val="50BB4726"/>
    <w:rsid w:val="50C43FD1"/>
    <w:rsid w:val="50DB26D2"/>
    <w:rsid w:val="50EE4E08"/>
    <w:rsid w:val="50FE2426"/>
    <w:rsid w:val="510D4856"/>
    <w:rsid w:val="51121E6C"/>
    <w:rsid w:val="511242FA"/>
    <w:rsid w:val="511B7EF3"/>
    <w:rsid w:val="512D7D71"/>
    <w:rsid w:val="512F0C70"/>
    <w:rsid w:val="5139389D"/>
    <w:rsid w:val="514648DC"/>
    <w:rsid w:val="514D5652"/>
    <w:rsid w:val="514E65F3"/>
    <w:rsid w:val="5150785C"/>
    <w:rsid w:val="51510BE7"/>
    <w:rsid w:val="515A41E2"/>
    <w:rsid w:val="5160707C"/>
    <w:rsid w:val="516721B8"/>
    <w:rsid w:val="51675356"/>
    <w:rsid w:val="51692B2E"/>
    <w:rsid w:val="517B5C63"/>
    <w:rsid w:val="517F39A6"/>
    <w:rsid w:val="517F3E24"/>
    <w:rsid w:val="51914954"/>
    <w:rsid w:val="51960CEF"/>
    <w:rsid w:val="519948ED"/>
    <w:rsid w:val="519F5DF6"/>
    <w:rsid w:val="51AD665B"/>
    <w:rsid w:val="51B05EC9"/>
    <w:rsid w:val="51C4760A"/>
    <w:rsid w:val="51CF7F2C"/>
    <w:rsid w:val="51DE0059"/>
    <w:rsid w:val="51E1640E"/>
    <w:rsid w:val="51F2795F"/>
    <w:rsid w:val="51F31C9E"/>
    <w:rsid w:val="51F37EF0"/>
    <w:rsid w:val="51FA6C65"/>
    <w:rsid w:val="51FD48CA"/>
    <w:rsid w:val="520B3C6B"/>
    <w:rsid w:val="52101963"/>
    <w:rsid w:val="52110A39"/>
    <w:rsid w:val="521A1920"/>
    <w:rsid w:val="521D4F6D"/>
    <w:rsid w:val="5221680B"/>
    <w:rsid w:val="52243706"/>
    <w:rsid w:val="52397095"/>
    <w:rsid w:val="52397FF8"/>
    <w:rsid w:val="524424F9"/>
    <w:rsid w:val="52492E45"/>
    <w:rsid w:val="524D7600"/>
    <w:rsid w:val="524F362C"/>
    <w:rsid w:val="5257222D"/>
    <w:rsid w:val="52595FA5"/>
    <w:rsid w:val="525D691E"/>
    <w:rsid w:val="525F5585"/>
    <w:rsid w:val="526130AB"/>
    <w:rsid w:val="526737EA"/>
    <w:rsid w:val="5272350A"/>
    <w:rsid w:val="52756B57"/>
    <w:rsid w:val="528D5C4E"/>
    <w:rsid w:val="528F7C18"/>
    <w:rsid w:val="52926C9E"/>
    <w:rsid w:val="52AA6800"/>
    <w:rsid w:val="52AB07CA"/>
    <w:rsid w:val="52AD40C8"/>
    <w:rsid w:val="52AF2069"/>
    <w:rsid w:val="52B26FAC"/>
    <w:rsid w:val="52BC4786"/>
    <w:rsid w:val="52C92D95"/>
    <w:rsid w:val="52CA0C50"/>
    <w:rsid w:val="52CD24EF"/>
    <w:rsid w:val="52D03D8D"/>
    <w:rsid w:val="52E066C6"/>
    <w:rsid w:val="52E77A54"/>
    <w:rsid w:val="52E962D5"/>
    <w:rsid w:val="52EB0BC7"/>
    <w:rsid w:val="52F65EE9"/>
    <w:rsid w:val="52F82D3C"/>
    <w:rsid w:val="53004672"/>
    <w:rsid w:val="5311687F"/>
    <w:rsid w:val="53134EDD"/>
    <w:rsid w:val="531E7B67"/>
    <w:rsid w:val="531F6449"/>
    <w:rsid w:val="53215D20"/>
    <w:rsid w:val="532306A7"/>
    <w:rsid w:val="5325368A"/>
    <w:rsid w:val="532C06D7"/>
    <w:rsid w:val="533423A7"/>
    <w:rsid w:val="53394028"/>
    <w:rsid w:val="533F1412"/>
    <w:rsid w:val="534349C0"/>
    <w:rsid w:val="534A1D91"/>
    <w:rsid w:val="534A7FE3"/>
    <w:rsid w:val="534B71BB"/>
    <w:rsid w:val="534C2DE1"/>
    <w:rsid w:val="53530C46"/>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BD743"/>
    <w:rsid w:val="53BA6F17"/>
    <w:rsid w:val="53BC2B2A"/>
    <w:rsid w:val="53BD558C"/>
    <w:rsid w:val="53BF62DB"/>
    <w:rsid w:val="53C36A62"/>
    <w:rsid w:val="53C75B65"/>
    <w:rsid w:val="53C75F80"/>
    <w:rsid w:val="53CE4770"/>
    <w:rsid w:val="53D37FD9"/>
    <w:rsid w:val="53D6C66D"/>
    <w:rsid w:val="53DA1367"/>
    <w:rsid w:val="53E13325"/>
    <w:rsid w:val="53E2021C"/>
    <w:rsid w:val="53E421E6"/>
    <w:rsid w:val="53E75832"/>
    <w:rsid w:val="53E94A32"/>
    <w:rsid w:val="53EE619C"/>
    <w:rsid w:val="53FA5565"/>
    <w:rsid w:val="53FD6501"/>
    <w:rsid w:val="540208BE"/>
    <w:rsid w:val="540E580D"/>
    <w:rsid w:val="541D3A51"/>
    <w:rsid w:val="54281085"/>
    <w:rsid w:val="542919A7"/>
    <w:rsid w:val="543640C4"/>
    <w:rsid w:val="544B62CC"/>
    <w:rsid w:val="5451797D"/>
    <w:rsid w:val="54662BFB"/>
    <w:rsid w:val="547370C6"/>
    <w:rsid w:val="547F3CBD"/>
    <w:rsid w:val="5483555B"/>
    <w:rsid w:val="54880DC3"/>
    <w:rsid w:val="548A1708"/>
    <w:rsid w:val="548E0DEC"/>
    <w:rsid w:val="54A454D1"/>
    <w:rsid w:val="54AB7B01"/>
    <w:rsid w:val="54AC2F51"/>
    <w:rsid w:val="54AD4386"/>
    <w:rsid w:val="54B24092"/>
    <w:rsid w:val="54BE1A66"/>
    <w:rsid w:val="54BF230B"/>
    <w:rsid w:val="54C60002"/>
    <w:rsid w:val="54C618EB"/>
    <w:rsid w:val="54CF69F2"/>
    <w:rsid w:val="54D04518"/>
    <w:rsid w:val="54D062C6"/>
    <w:rsid w:val="54DD0B09"/>
    <w:rsid w:val="54DE09E3"/>
    <w:rsid w:val="54DF1BBD"/>
    <w:rsid w:val="54E32728"/>
    <w:rsid w:val="54E66A4D"/>
    <w:rsid w:val="54EE1843"/>
    <w:rsid w:val="54F02663"/>
    <w:rsid w:val="54FE2E33"/>
    <w:rsid w:val="5509476E"/>
    <w:rsid w:val="550A5C7C"/>
    <w:rsid w:val="55147A1D"/>
    <w:rsid w:val="551B39E5"/>
    <w:rsid w:val="551D59AF"/>
    <w:rsid w:val="552705DC"/>
    <w:rsid w:val="55287EB0"/>
    <w:rsid w:val="553E73B3"/>
    <w:rsid w:val="55434CEA"/>
    <w:rsid w:val="55651104"/>
    <w:rsid w:val="556C5FEF"/>
    <w:rsid w:val="55733821"/>
    <w:rsid w:val="558275C0"/>
    <w:rsid w:val="55881E63"/>
    <w:rsid w:val="558F7F2F"/>
    <w:rsid w:val="559A7000"/>
    <w:rsid w:val="559E0B25"/>
    <w:rsid w:val="55A03EEB"/>
    <w:rsid w:val="55A76517"/>
    <w:rsid w:val="55AD03B6"/>
    <w:rsid w:val="55AF7BDE"/>
    <w:rsid w:val="55B044A8"/>
    <w:rsid w:val="55B7165E"/>
    <w:rsid w:val="55CD75A6"/>
    <w:rsid w:val="55E53FF3"/>
    <w:rsid w:val="55EF27C2"/>
    <w:rsid w:val="55F05BDE"/>
    <w:rsid w:val="55F935FB"/>
    <w:rsid w:val="5601759D"/>
    <w:rsid w:val="560D03AE"/>
    <w:rsid w:val="5613290E"/>
    <w:rsid w:val="56206DD9"/>
    <w:rsid w:val="5621585F"/>
    <w:rsid w:val="562E599A"/>
    <w:rsid w:val="56301712"/>
    <w:rsid w:val="56326E73"/>
    <w:rsid w:val="56384C51"/>
    <w:rsid w:val="563C024F"/>
    <w:rsid w:val="56440D1A"/>
    <w:rsid w:val="565F3DA6"/>
    <w:rsid w:val="565F7902"/>
    <w:rsid w:val="56665134"/>
    <w:rsid w:val="56737851"/>
    <w:rsid w:val="567A473C"/>
    <w:rsid w:val="56876E58"/>
    <w:rsid w:val="569278FF"/>
    <w:rsid w:val="56A1616C"/>
    <w:rsid w:val="56B57E6A"/>
    <w:rsid w:val="56CC7222"/>
    <w:rsid w:val="56D025AE"/>
    <w:rsid w:val="56E04EE6"/>
    <w:rsid w:val="56F049FE"/>
    <w:rsid w:val="56F664B8"/>
    <w:rsid w:val="56F73FDE"/>
    <w:rsid w:val="57064221"/>
    <w:rsid w:val="57081D47"/>
    <w:rsid w:val="570C0168"/>
    <w:rsid w:val="57195870"/>
    <w:rsid w:val="57262CE7"/>
    <w:rsid w:val="57281234"/>
    <w:rsid w:val="572940E6"/>
    <w:rsid w:val="572C7C98"/>
    <w:rsid w:val="57342B3C"/>
    <w:rsid w:val="5737262D"/>
    <w:rsid w:val="57392849"/>
    <w:rsid w:val="57413A35"/>
    <w:rsid w:val="574216FD"/>
    <w:rsid w:val="57613C9E"/>
    <w:rsid w:val="57770C7B"/>
    <w:rsid w:val="57776E1C"/>
    <w:rsid w:val="57794569"/>
    <w:rsid w:val="577DCD24"/>
    <w:rsid w:val="577F6616"/>
    <w:rsid w:val="5784475F"/>
    <w:rsid w:val="579212BC"/>
    <w:rsid w:val="57925AB5"/>
    <w:rsid w:val="57A33EBB"/>
    <w:rsid w:val="57BE0CA6"/>
    <w:rsid w:val="57BE13C9"/>
    <w:rsid w:val="57CD4D3F"/>
    <w:rsid w:val="57CE11E3"/>
    <w:rsid w:val="57CF603D"/>
    <w:rsid w:val="57D71812"/>
    <w:rsid w:val="57D9BFF8"/>
    <w:rsid w:val="57DF78C0"/>
    <w:rsid w:val="57E74053"/>
    <w:rsid w:val="57EBC47B"/>
    <w:rsid w:val="57ED767A"/>
    <w:rsid w:val="57F74BE3"/>
    <w:rsid w:val="57F95B34"/>
    <w:rsid w:val="57FB0E67"/>
    <w:rsid w:val="57FC185D"/>
    <w:rsid w:val="57FF5DE3"/>
    <w:rsid w:val="580B5808"/>
    <w:rsid w:val="580F4142"/>
    <w:rsid w:val="581110D0"/>
    <w:rsid w:val="581A7F84"/>
    <w:rsid w:val="582232DD"/>
    <w:rsid w:val="582238BC"/>
    <w:rsid w:val="582708F3"/>
    <w:rsid w:val="58293F10"/>
    <w:rsid w:val="582C5F09"/>
    <w:rsid w:val="58360B36"/>
    <w:rsid w:val="583A6878"/>
    <w:rsid w:val="58403763"/>
    <w:rsid w:val="58405511"/>
    <w:rsid w:val="584F05EC"/>
    <w:rsid w:val="584F5203"/>
    <w:rsid w:val="58501BF8"/>
    <w:rsid w:val="58515970"/>
    <w:rsid w:val="586518C6"/>
    <w:rsid w:val="5870318E"/>
    <w:rsid w:val="58733166"/>
    <w:rsid w:val="58734F65"/>
    <w:rsid w:val="587A0A23"/>
    <w:rsid w:val="587F8A93"/>
    <w:rsid w:val="58863015"/>
    <w:rsid w:val="589046EA"/>
    <w:rsid w:val="58937D37"/>
    <w:rsid w:val="58A86818"/>
    <w:rsid w:val="58AB32D2"/>
    <w:rsid w:val="58AC120F"/>
    <w:rsid w:val="58AD4249"/>
    <w:rsid w:val="58B06B3A"/>
    <w:rsid w:val="58B47348"/>
    <w:rsid w:val="58B959EF"/>
    <w:rsid w:val="58D1441F"/>
    <w:rsid w:val="58D2085F"/>
    <w:rsid w:val="58D36385"/>
    <w:rsid w:val="58D56B68"/>
    <w:rsid w:val="58E442E2"/>
    <w:rsid w:val="58EB1921"/>
    <w:rsid w:val="58F20F01"/>
    <w:rsid w:val="59062983"/>
    <w:rsid w:val="59096FBD"/>
    <w:rsid w:val="591770DF"/>
    <w:rsid w:val="591C7708"/>
    <w:rsid w:val="591F6D94"/>
    <w:rsid w:val="59201E0F"/>
    <w:rsid w:val="594352B9"/>
    <w:rsid w:val="5947124D"/>
    <w:rsid w:val="59576FB6"/>
    <w:rsid w:val="59590F80"/>
    <w:rsid w:val="59611BE3"/>
    <w:rsid w:val="596334BB"/>
    <w:rsid w:val="59694D38"/>
    <w:rsid w:val="596C0CB3"/>
    <w:rsid w:val="59710078"/>
    <w:rsid w:val="5976568E"/>
    <w:rsid w:val="597A3BB3"/>
    <w:rsid w:val="597C6A1D"/>
    <w:rsid w:val="597DFBC3"/>
    <w:rsid w:val="597EB301"/>
    <w:rsid w:val="59914276"/>
    <w:rsid w:val="59927FEE"/>
    <w:rsid w:val="599B4757"/>
    <w:rsid w:val="599C0E6D"/>
    <w:rsid w:val="59A71CEC"/>
    <w:rsid w:val="59A860E0"/>
    <w:rsid w:val="59B56DA9"/>
    <w:rsid w:val="59B91A1F"/>
    <w:rsid w:val="59C25C6C"/>
    <w:rsid w:val="59D2668C"/>
    <w:rsid w:val="59D522F0"/>
    <w:rsid w:val="59D5566C"/>
    <w:rsid w:val="59DD74BB"/>
    <w:rsid w:val="59DF315D"/>
    <w:rsid w:val="59E06FAB"/>
    <w:rsid w:val="59F111B9"/>
    <w:rsid w:val="59F1740B"/>
    <w:rsid w:val="59F20A8D"/>
    <w:rsid w:val="59F32CC1"/>
    <w:rsid w:val="59FD1464"/>
    <w:rsid w:val="59FD7B5D"/>
    <w:rsid w:val="5A0802B0"/>
    <w:rsid w:val="5A0E58C7"/>
    <w:rsid w:val="5A144EA7"/>
    <w:rsid w:val="5A2570B4"/>
    <w:rsid w:val="5A272E2C"/>
    <w:rsid w:val="5A3A2B60"/>
    <w:rsid w:val="5A511C57"/>
    <w:rsid w:val="5A625C12"/>
    <w:rsid w:val="5A64198B"/>
    <w:rsid w:val="5A6D9B03"/>
    <w:rsid w:val="5A883BD2"/>
    <w:rsid w:val="5A8913F1"/>
    <w:rsid w:val="5A8B33BB"/>
    <w:rsid w:val="5AA94C5A"/>
    <w:rsid w:val="5AAA9A9B"/>
    <w:rsid w:val="5AAF4104"/>
    <w:rsid w:val="5AB67D0C"/>
    <w:rsid w:val="5AC642F3"/>
    <w:rsid w:val="5AC97A40"/>
    <w:rsid w:val="5ACB22C3"/>
    <w:rsid w:val="5AE074D8"/>
    <w:rsid w:val="5AE12FDB"/>
    <w:rsid w:val="5AE32609"/>
    <w:rsid w:val="5AE65F83"/>
    <w:rsid w:val="5AED71E7"/>
    <w:rsid w:val="5AF7DC83"/>
    <w:rsid w:val="5AFB3C0F"/>
    <w:rsid w:val="5AFD676A"/>
    <w:rsid w:val="5B0745E8"/>
    <w:rsid w:val="5B224FBB"/>
    <w:rsid w:val="5B2B4256"/>
    <w:rsid w:val="5B2D10C2"/>
    <w:rsid w:val="5B2F01EA"/>
    <w:rsid w:val="5B370E4D"/>
    <w:rsid w:val="5B3B6835"/>
    <w:rsid w:val="5B465534"/>
    <w:rsid w:val="5B48566E"/>
    <w:rsid w:val="5B4B45B5"/>
    <w:rsid w:val="5B4D1AC8"/>
    <w:rsid w:val="5B57329D"/>
    <w:rsid w:val="5B6360E6"/>
    <w:rsid w:val="5B637E94"/>
    <w:rsid w:val="5B7025B1"/>
    <w:rsid w:val="5B791466"/>
    <w:rsid w:val="5B7B51DE"/>
    <w:rsid w:val="5B7F01A8"/>
    <w:rsid w:val="5B8A3673"/>
    <w:rsid w:val="5B8F0C89"/>
    <w:rsid w:val="5B8F9460"/>
    <w:rsid w:val="5B984503"/>
    <w:rsid w:val="5B9B762E"/>
    <w:rsid w:val="5BAA50E3"/>
    <w:rsid w:val="5BB57FC4"/>
    <w:rsid w:val="5BBD57F6"/>
    <w:rsid w:val="5BC56459"/>
    <w:rsid w:val="5BC788F6"/>
    <w:rsid w:val="5BD60666"/>
    <w:rsid w:val="5BD946E4"/>
    <w:rsid w:val="5BDC87FF"/>
    <w:rsid w:val="5BDFEF67"/>
    <w:rsid w:val="5BE508A9"/>
    <w:rsid w:val="5BE54D4D"/>
    <w:rsid w:val="5BE79CB2"/>
    <w:rsid w:val="5BE7F760"/>
    <w:rsid w:val="5BED775E"/>
    <w:rsid w:val="5BEDA6DE"/>
    <w:rsid w:val="5BF67BFC"/>
    <w:rsid w:val="5BFFCE8C"/>
    <w:rsid w:val="5C0E1955"/>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C0D57"/>
    <w:rsid w:val="5C5D30F4"/>
    <w:rsid w:val="5C5F68AD"/>
    <w:rsid w:val="5C771040"/>
    <w:rsid w:val="5C7F0CFE"/>
    <w:rsid w:val="5C9116E3"/>
    <w:rsid w:val="5C955DF5"/>
    <w:rsid w:val="5C9C2DD3"/>
    <w:rsid w:val="5C9F6CAA"/>
    <w:rsid w:val="5CAB4491"/>
    <w:rsid w:val="5CB87D6C"/>
    <w:rsid w:val="5CBA72B5"/>
    <w:rsid w:val="5CBD1826"/>
    <w:rsid w:val="5CC11316"/>
    <w:rsid w:val="5CC91F79"/>
    <w:rsid w:val="5CD03307"/>
    <w:rsid w:val="5CDA23D8"/>
    <w:rsid w:val="5CDD5A24"/>
    <w:rsid w:val="5CE02B67"/>
    <w:rsid w:val="5CE035D2"/>
    <w:rsid w:val="5CE328FF"/>
    <w:rsid w:val="5CED3EB9"/>
    <w:rsid w:val="5CEF74DD"/>
    <w:rsid w:val="5CFD8D25"/>
    <w:rsid w:val="5D072AA1"/>
    <w:rsid w:val="5D0905C7"/>
    <w:rsid w:val="5D121B72"/>
    <w:rsid w:val="5D196598"/>
    <w:rsid w:val="5D1969D1"/>
    <w:rsid w:val="5D215911"/>
    <w:rsid w:val="5D2732DD"/>
    <w:rsid w:val="5D375134"/>
    <w:rsid w:val="5D487240"/>
    <w:rsid w:val="5D487342"/>
    <w:rsid w:val="5D492BC3"/>
    <w:rsid w:val="5D51013C"/>
    <w:rsid w:val="5D5522D8"/>
    <w:rsid w:val="5D55B19E"/>
    <w:rsid w:val="5D60062B"/>
    <w:rsid w:val="5D7C348F"/>
    <w:rsid w:val="5D7F1358"/>
    <w:rsid w:val="5D8827E5"/>
    <w:rsid w:val="5D883BE2"/>
    <w:rsid w:val="5D913680"/>
    <w:rsid w:val="5D916F3A"/>
    <w:rsid w:val="5DA40E67"/>
    <w:rsid w:val="5DA54794"/>
    <w:rsid w:val="5DA606AA"/>
    <w:rsid w:val="5DAE40EE"/>
    <w:rsid w:val="5DB03139"/>
    <w:rsid w:val="5DB06C95"/>
    <w:rsid w:val="5DB287E7"/>
    <w:rsid w:val="5DB72F61"/>
    <w:rsid w:val="5DBB178B"/>
    <w:rsid w:val="5DC7295C"/>
    <w:rsid w:val="5DC7C830"/>
    <w:rsid w:val="5DCF5080"/>
    <w:rsid w:val="5DD27696"/>
    <w:rsid w:val="5DD38586"/>
    <w:rsid w:val="5DD46E27"/>
    <w:rsid w:val="5DE63AAD"/>
    <w:rsid w:val="5DED09C6"/>
    <w:rsid w:val="5DED7EE9"/>
    <w:rsid w:val="5DEF9A2A"/>
    <w:rsid w:val="5DF22D33"/>
    <w:rsid w:val="5DF64FF0"/>
    <w:rsid w:val="5E0771FD"/>
    <w:rsid w:val="5E0D2842"/>
    <w:rsid w:val="5E1358D5"/>
    <w:rsid w:val="5E1755D6"/>
    <w:rsid w:val="5E2002BE"/>
    <w:rsid w:val="5E241C39"/>
    <w:rsid w:val="5E2A4C99"/>
    <w:rsid w:val="5E2E29DB"/>
    <w:rsid w:val="5E3311D0"/>
    <w:rsid w:val="5E3B2A02"/>
    <w:rsid w:val="5E3FEC27"/>
    <w:rsid w:val="5E420235"/>
    <w:rsid w:val="5E510E61"/>
    <w:rsid w:val="5E541E21"/>
    <w:rsid w:val="5E5A1A12"/>
    <w:rsid w:val="5E5CE77E"/>
    <w:rsid w:val="5E677C9B"/>
    <w:rsid w:val="5E681499"/>
    <w:rsid w:val="5E68756F"/>
    <w:rsid w:val="5E6F08FE"/>
    <w:rsid w:val="5E734F09"/>
    <w:rsid w:val="5E8117C9"/>
    <w:rsid w:val="5E8425FB"/>
    <w:rsid w:val="5E87CAFE"/>
    <w:rsid w:val="5E8A5738"/>
    <w:rsid w:val="5E8C6B7C"/>
    <w:rsid w:val="5E930A90"/>
    <w:rsid w:val="5E980234"/>
    <w:rsid w:val="5E987E55"/>
    <w:rsid w:val="5EA37962"/>
    <w:rsid w:val="5EA762EA"/>
    <w:rsid w:val="5EAC7607"/>
    <w:rsid w:val="5EAE5E8D"/>
    <w:rsid w:val="5EBA601D"/>
    <w:rsid w:val="5EBB25D9"/>
    <w:rsid w:val="5EC2182D"/>
    <w:rsid w:val="5EC92704"/>
    <w:rsid w:val="5ED167B4"/>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53F98"/>
    <w:rsid w:val="5F5F0972"/>
    <w:rsid w:val="5F646CDF"/>
    <w:rsid w:val="5F671FB6"/>
    <w:rsid w:val="5F6B3DD1"/>
    <w:rsid w:val="5F6E0BB6"/>
    <w:rsid w:val="5F7351A8"/>
    <w:rsid w:val="5F745129"/>
    <w:rsid w:val="5F7F1015"/>
    <w:rsid w:val="5F7F6537"/>
    <w:rsid w:val="5F7F74E6"/>
    <w:rsid w:val="5F7F8424"/>
    <w:rsid w:val="5F857B8E"/>
    <w:rsid w:val="5F944AC0"/>
    <w:rsid w:val="5F9A6A4F"/>
    <w:rsid w:val="5F9D6D44"/>
    <w:rsid w:val="5FA16CFD"/>
    <w:rsid w:val="5FA40A7B"/>
    <w:rsid w:val="5FA665A1"/>
    <w:rsid w:val="5FA8056B"/>
    <w:rsid w:val="5FA840C8"/>
    <w:rsid w:val="5FAE5456"/>
    <w:rsid w:val="5FAF18FA"/>
    <w:rsid w:val="5FB9289D"/>
    <w:rsid w:val="5FB97671"/>
    <w:rsid w:val="5FBA204D"/>
    <w:rsid w:val="5FBB7063"/>
    <w:rsid w:val="5FBE5F8C"/>
    <w:rsid w:val="5FC3E0C2"/>
    <w:rsid w:val="5FCB425A"/>
    <w:rsid w:val="5FCD1D80"/>
    <w:rsid w:val="5FCF3D4A"/>
    <w:rsid w:val="5FD2383A"/>
    <w:rsid w:val="5FD27396"/>
    <w:rsid w:val="5FDC1FC3"/>
    <w:rsid w:val="5FDF5F21"/>
    <w:rsid w:val="5FE64BF0"/>
    <w:rsid w:val="5FE70EFC"/>
    <w:rsid w:val="5FEF5AE3"/>
    <w:rsid w:val="5FEF9CDF"/>
    <w:rsid w:val="5FF52FC5"/>
    <w:rsid w:val="5FF98158"/>
    <w:rsid w:val="5FFE92A3"/>
    <w:rsid w:val="5FFF095F"/>
    <w:rsid w:val="5FFF6A55"/>
    <w:rsid w:val="5FFF8B6C"/>
    <w:rsid w:val="5FFF9503"/>
    <w:rsid w:val="5FFFB3F9"/>
    <w:rsid w:val="5FFFE4F8"/>
    <w:rsid w:val="60010C0C"/>
    <w:rsid w:val="600357A2"/>
    <w:rsid w:val="600449FA"/>
    <w:rsid w:val="60065292"/>
    <w:rsid w:val="600812C2"/>
    <w:rsid w:val="600B4656"/>
    <w:rsid w:val="60206354"/>
    <w:rsid w:val="602A71D2"/>
    <w:rsid w:val="60343BAD"/>
    <w:rsid w:val="605136F1"/>
    <w:rsid w:val="60566219"/>
    <w:rsid w:val="60641CD3"/>
    <w:rsid w:val="60664487"/>
    <w:rsid w:val="60695F4D"/>
    <w:rsid w:val="60697CFF"/>
    <w:rsid w:val="606A3A73"/>
    <w:rsid w:val="606A75CF"/>
    <w:rsid w:val="607641C6"/>
    <w:rsid w:val="6081108F"/>
    <w:rsid w:val="608D6D84"/>
    <w:rsid w:val="60911000"/>
    <w:rsid w:val="60932FCA"/>
    <w:rsid w:val="6098413C"/>
    <w:rsid w:val="60997EB4"/>
    <w:rsid w:val="609A4358"/>
    <w:rsid w:val="609D5BF6"/>
    <w:rsid w:val="60A800F7"/>
    <w:rsid w:val="60AA0313"/>
    <w:rsid w:val="60AC7BE7"/>
    <w:rsid w:val="60BA0556"/>
    <w:rsid w:val="60BD3BA3"/>
    <w:rsid w:val="60D40EEC"/>
    <w:rsid w:val="60D66C58"/>
    <w:rsid w:val="60E47381"/>
    <w:rsid w:val="60EC4488"/>
    <w:rsid w:val="60EE0F50"/>
    <w:rsid w:val="60EF5D26"/>
    <w:rsid w:val="60F34B13"/>
    <w:rsid w:val="60F656FF"/>
    <w:rsid w:val="60FD48E7"/>
    <w:rsid w:val="61030562"/>
    <w:rsid w:val="61053D09"/>
    <w:rsid w:val="61120392"/>
    <w:rsid w:val="61175E6E"/>
    <w:rsid w:val="61271964"/>
    <w:rsid w:val="612C0D28"/>
    <w:rsid w:val="612D34C7"/>
    <w:rsid w:val="613227E3"/>
    <w:rsid w:val="613C5DD2"/>
    <w:rsid w:val="6142679E"/>
    <w:rsid w:val="61497B2C"/>
    <w:rsid w:val="6155256B"/>
    <w:rsid w:val="615A1BEB"/>
    <w:rsid w:val="615C785F"/>
    <w:rsid w:val="61614E76"/>
    <w:rsid w:val="61642270"/>
    <w:rsid w:val="61643174"/>
    <w:rsid w:val="6171096B"/>
    <w:rsid w:val="61736957"/>
    <w:rsid w:val="61783F6D"/>
    <w:rsid w:val="617F70AA"/>
    <w:rsid w:val="618172C6"/>
    <w:rsid w:val="618E3791"/>
    <w:rsid w:val="618F19E3"/>
    <w:rsid w:val="619146C6"/>
    <w:rsid w:val="61982570"/>
    <w:rsid w:val="619863BE"/>
    <w:rsid w:val="61AE5BE1"/>
    <w:rsid w:val="61AF3E33"/>
    <w:rsid w:val="61B335F0"/>
    <w:rsid w:val="61B551C2"/>
    <w:rsid w:val="61B56055"/>
    <w:rsid w:val="61BD5D78"/>
    <w:rsid w:val="61C1149F"/>
    <w:rsid w:val="61C40F61"/>
    <w:rsid w:val="61CD3451"/>
    <w:rsid w:val="61D05B58"/>
    <w:rsid w:val="61EB2991"/>
    <w:rsid w:val="61EB473F"/>
    <w:rsid w:val="61EF51BF"/>
    <w:rsid w:val="61F44573"/>
    <w:rsid w:val="61FF7A18"/>
    <w:rsid w:val="620F54F9"/>
    <w:rsid w:val="621A2B05"/>
    <w:rsid w:val="621E68C3"/>
    <w:rsid w:val="62261C1B"/>
    <w:rsid w:val="62285994"/>
    <w:rsid w:val="622A170C"/>
    <w:rsid w:val="62311B55"/>
    <w:rsid w:val="62466788"/>
    <w:rsid w:val="62467BC8"/>
    <w:rsid w:val="62471074"/>
    <w:rsid w:val="624D3D9E"/>
    <w:rsid w:val="625BA384"/>
    <w:rsid w:val="62652744"/>
    <w:rsid w:val="62678645"/>
    <w:rsid w:val="626A7047"/>
    <w:rsid w:val="626D47E1"/>
    <w:rsid w:val="6271733B"/>
    <w:rsid w:val="627273E6"/>
    <w:rsid w:val="62764951"/>
    <w:rsid w:val="627C0DB7"/>
    <w:rsid w:val="62856942"/>
    <w:rsid w:val="628726BA"/>
    <w:rsid w:val="628F41EE"/>
    <w:rsid w:val="62922E0D"/>
    <w:rsid w:val="62940F02"/>
    <w:rsid w:val="629833BF"/>
    <w:rsid w:val="62A25746"/>
    <w:rsid w:val="62A4530D"/>
    <w:rsid w:val="62AC3ECF"/>
    <w:rsid w:val="62B249B4"/>
    <w:rsid w:val="62C751AC"/>
    <w:rsid w:val="62CD5E9B"/>
    <w:rsid w:val="62CE02E9"/>
    <w:rsid w:val="62D30729"/>
    <w:rsid w:val="62D701C0"/>
    <w:rsid w:val="62DB769D"/>
    <w:rsid w:val="62E505AE"/>
    <w:rsid w:val="62F31F96"/>
    <w:rsid w:val="62F32190"/>
    <w:rsid w:val="630E6937"/>
    <w:rsid w:val="63155F18"/>
    <w:rsid w:val="63161C90"/>
    <w:rsid w:val="632779F9"/>
    <w:rsid w:val="63292486"/>
    <w:rsid w:val="632B74E9"/>
    <w:rsid w:val="632C3261"/>
    <w:rsid w:val="633368CB"/>
    <w:rsid w:val="633C4F87"/>
    <w:rsid w:val="63413A85"/>
    <w:rsid w:val="634F5BD8"/>
    <w:rsid w:val="63500CFE"/>
    <w:rsid w:val="63520F1A"/>
    <w:rsid w:val="635D78BF"/>
    <w:rsid w:val="63676048"/>
    <w:rsid w:val="636B5B38"/>
    <w:rsid w:val="636F74B8"/>
    <w:rsid w:val="63716EC6"/>
    <w:rsid w:val="637D0D01"/>
    <w:rsid w:val="637E109C"/>
    <w:rsid w:val="639130C5"/>
    <w:rsid w:val="639257BA"/>
    <w:rsid w:val="63936E3D"/>
    <w:rsid w:val="63971320"/>
    <w:rsid w:val="639808F7"/>
    <w:rsid w:val="63A47459"/>
    <w:rsid w:val="63B03E93"/>
    <w:rsid w:val="63B7BAFE"/>
    <w:rsid w:val="63BE940E"/>
    <w:rsid w:val="63C118F1"/>
    <w:rsid w:val="63D23E09"/>
    <w:rsid w:val="63D80CF3"/>
    <w:rsid w:val="63D93361"/>
    <w:rsid w:val="63E47698"/>
    <w:rsid w:val="63F7ED2C"/>
    <w:rsid w:val="63F9378B"/>
    <w:rsid w:val="64030466"/>
    <w:rsid w:val="640B731B"/>
    <w:rsid w:val="64141E2A"/>
    <w:rsid w:val="641C32D6"/>
    <w:rsid w:val="641F1AFF"/>
    <w:rsid w:val="64206FFA"/>
    <w:rsid w:val="6423343A"/>
    <w:rsid w:val="64243EAB"/>
    <w:rsid w:val="64267CB1"/>
    <w:rsid w:val="64281C7B"/>
    <w:rsid w:val="642E4ED1"/>
    <w:rsid w:val="64326656"/>
    <w:rsid w:val="64356146"/>
    <w:rsid w:val="643862D7"/>
    <w:rsid w:val="64475C36"/>
    <w:rsid w:val="644B5969"/>
    <w:rsid w:val="64553CAC"/>
    <w:rsid w:val="645962D8"/>
    <w:rsid w:val="645A1BF1"/>
    <w:rsid w:val="645E569D"/>
    <w:rsid w:val="64607054"/>
    <w:rsid w:val="64610CE9"/>
    <w:rsid w:val="646D3B32"/>
    <w:rsid w:val="64726987"/>
    <w:rsid w:val="647F14B7"/>
    <w:rsid w:val="64801AB7"/>
    <w:rsid w:val="64805613"/>
    <w:rsid w:val="64850169"/>
    <w:rsid w:val="6486074F"/>
    <w:rsid w:val="648C045C"/>
    <w:rsid w:val="649338E6"/>
    <w:rsid w:val="649410BE"/>
    <w:rsid w:val="649B0CC7"/>
    <w:rsid w:val="649C61C5"/>
    <w:rsid w:val="64A86918"/>
    <w:rsid w:val="64B85A8B"/>
    <w:rsid w:val="64B928D3"/>
    <w:rsid w:val="64BF3053"/>
    <w:rsid w:val="64C0772E"/>
    <w:rsid w:val="64D12312"/>
    <w:rsid w:val="64D15E6F"/>
    <w:rsid w:val="64D9665F"/>
    <w:rsid w:val="64DB6CED"/>
    <w:rsid w:val="64DD2A65"/>
    <w:rsid w:val="64DE3764"/>
    <w:rsid w:val="64F658D5"/>
    <w:rsid w:val="64FE7F1B"/>
    <w:rsid w:val="650A483D"/>
    <w:rsid w:val="65143FAD"/>
    <w:rsid w:val="651641C9"/>
    <w:rsid w:val="651F4D8E"/>
    <w:rsid w:val="652E1513"/>
    <w:rsid w:val="6545060B"/>
    <w:rsid w:val="654900FB"/>
    <w:rsid w:val="654B227B"/>
    <w:rsid w:val="654C7BEB"/>
    <w:rsid w:val="6551446E"/>
    <w:rsid w:val="65515201"/>
    <w:rsid w:val="65567E1B"/>
    <w:rsid w:val="655D3F95"/>
    <w:rsid w:val="656942F9"/>
    <w:rsid w:val="65764C68"/>
    <w:rsid w:val="657C502B"/>
    <w:rsid w:val="657FA36C"/>
    <w:rsid w:val="65863920"/>
    <w:rsid w:val="658B0713"/>
    <w:rsid w:val="658F66C3"/>
    <w:rsid w:val="65907AD8"/>
    <w:rsid w:val="65A73073"/>
    <w:rsid w:val="65A74E21"/>
    <w:rsid w:val="65A75574"/>
    <w:rsid w:val="65B337C6"/>
    <w:rsid w:val="65BB1AFE"/>
    <w:rsid w:val="65BD2897"/>
    <w:rsid w:val="65C43C25"/>
    <w:rsid w:val="65C6272B"/>
    <w:rsid w:val="65DA51F7"/>
    <w:rsid w:val="65E07B22"/>
    <w:rsid w:val="65ED47D1"/>
    <w:rsid w:val="65F12C91"/>
    <w:rsid w:val="65FF9DC4"/>
    <w:rsid w:val="660109D5"/>
    <w:rsid w:val="66026D86"/>
    <w:rsid w:val="66091638"/>
    <w:rsid w:val="660B1854"/>
    <w:rsid w:val="660B715E"/>
    <w:rsid w:val="6612628E"/>
    <w:rsid w:val="66134265"/>
    <w:rsid w:val="662446C4"/>
    <w:rsid w:val="66293A88"/>
    <w:rsid w:val="662F72F1"/>
    <w:rsid w:val="66344907"/>
    <w:rsid w:val="663A092F"/>
    <w:rsid w:val="665B6338"/>
    <w:rsid w:val="665C5C0C"/>
    <w:rsid w:val="66680A54"/>
    <w:rsid w:val="668D2028"/>
    <w:rsid w:val="668E41E0"/>
    <w:rsid w:val="669C5E64"/>
    <w:rsid w:val="669F73A8"/>
    <w:rsid w:val="66A001EE"/>
    <w:rsid w:val="66A36A3E"/>
    <w:rsid w:val="66A63D1B"/>
    <w:rsid w:val="66AB0941"/>
    <w:rsid w:val="66B239D6"/>
    <w:rsid w:val="66B25DAA"/>
    <w:rsid w:val="66B7E23A"/>
    <w:rsid w:val="66BE68C6"/>
    <w:rsid w:val="66C051B1"/>
    <w:rsid w:val="66C11F13"/>
    <w:rsid w:val="66C537B1"/>
    <w:rsid w:val="66CB4B3F"/>
    <w:rsid w:val="66D41C46"/>
    <w:rsid w:val="66D93700"/>
    <w:rsid w:val="66EA092B"/>
    <w:rsid w:val="66EA76BB"/>
    <w:rsid w:val="66EC3434"/>
    <w:rsid w:val="66F10A4A"/>
    <w:rsid w:val="66F44096"/>
    <w:rsid w:val="66F4ECCA"/>
    <w:rsid w:val="66F61BBC"/>
    <w:rsid w:val="66FD73EF"/>
    <w:rsid w:val="66FE6154"/>
    <w:rsid w:val="670029FC"/>
    <w:rsid w:val="67061468"/>
    <w:rsid w:val="67095D94"/>
    <w:rsid w:val="67217000"/>
    <w:rsid w:val="67281F92"/>
    <w:rsid w:val="67357E07"/>
    <w:rsid w:val="67362901"/>
    <w:rsid w:val="67380427"/>
    <w:rsid w:val="67386679"/>
    <w:rsid w:val="673B50C0"/>
    <w:rsid w:val="67470483"/>
    <w:rsid w:val="674943E2"/>
    <w:rsid w:val="674F5770"/>
    <w:rsid w:val="67512F25"/>
    <w:rsid w:val="67513297"/>
    <w:rsid w:val="67580717"/>
    <w:rsid w:val="67694A84"/>
    <w:rsid w:val="676A25AA"/>
    <w:rsid w:val="67723114"/>
    <w:rsid w:val="678B7CC5"/>
    <w:rsid w:val="678E0047"/>
    <w:rsid w:val="6796213A"/>
    <w:rsid w:val="67A26C35"/>
    <w:rsid w:val="67A41555"/>
    <w:rsid w:val="67C1041C"/>
    <w:rsid w:val="67C41CBB"/>
    <w:rsid w:val="67CA011C"/>
    <w:rsid w:val="67DC0256"/>
    <w:rsid w:val="67E3F43C"/>
    <w:rsid w:val="67ED1E20"/>
    <w:rsid w:val="67F962C1"/>
    <w:rsid w:val="67FF4ED8"/>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5286A"/>
    <w:rsid w:val="68790CF7"/>
    <w:rsid w:val="68792AA5"/>
    <w:rsid w:val="687E455F"/>
    <w:rsid w:val="68866F70"/>
    <w:rsid w:val="68876093"/>
    <w:rsid w:val="68906041"/>
    <w:rsid w:val="68936625"/>
    <w:rsid w:val="68986ABC"/>
    <w:rsid w:val="68993147"/>
    <w:rsid w:val="689B6EBF"/>
    <w:rsid w:val="68A5389A"/>
    <w:rsid w:val="68B21726"/>
    <w:rsid w:val="68BB30BE"/>
    <w:rsid w:val="68BE2BAE"/>
    <w:rsid w:val="68C56033"/>
    <w:rsid w:val="68CA77A4"/>
    <w:rsid w:val="68CD0CA0"/>
    <w:rsid w:val="68CF0917"/>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70DF5"/>
    <w:rsid w:val="695152D1"/>
    <w:rsid w:val="6958090C"/>
    <w:rsid w:val="695B21AB"/>
    <w:rsid w:val="6965626E"/>
    <w:rsid w:val="69667EC4"/>
    <w:rsid w:val="69713C44"/>
    <w:rsid w:val="69864D20"/>
    <w:rsid w:val="6986EA0C"/>
    <w:rsid w:val="698C2294"/>
    <w:rsid w:val="698E5BE1"/>
    <w:rsid w:val="699F653B"/>
    <w:rsid w:val="69A078C8"/>
    <w:rsid w:val="69A51678"/>
    <w:rsid w:val="69B31FE7"/>
    <w:rsid w:val="69BC26E8"/>
    <w:rsid w:val="69DD222D"/>
    <w:rsid w:val="69E00AE8"/>
    <w:rsid w:val="69F04FE9"/>
    <w:rsid w:val="69FA4216"/>
    <w:rsid w:val="69FC6AC2"/>
    <w:rsid w:val="6A0D5B9B"/>
    <w:rsid w:val="6A0E546F"/>
    <w:rsid w:val="6A222CC8"/>
    <w:rsid w:val="6A294057"/>
    <w:rsid w:val="6A303637"/>
    <w:rsid w:val="6A3D06FE"/>
    <w:rsid w:val="6A5A4F50"/>
    <w:rsid w:val="6A5C2B8F"/>
    <w:rsid w:val="6A617C95"/>
    <w:rsid w:val="6A620512"/>
    <w:rsid w:val="6A75729C"/>
    <w:rsid w:val="6A771387"/>
    <w:rsid w:val="6A773014"/>
    <w:rsid w:val="6A7E59E9"/>
    <w:rsid w:val="6A843983"/>
    <w:rsid w:val="6A8A71EB"/>
    <w:rsid w:val="6A8E65B0"/>
    <w:rsid w:val="6A903C04"/>
    <w:rsid w:val="6A9B40A4"/>
    <w:rsid w:val="6A9D53A6"/>
    <w:rsid w:val="6AAF6C52"/>
    <w:rsid w:val="6AC124E1"/>
    <w:rsid w:val="6ACB609A"/>
    <w:rsid w:val="6AE10DD5"/>
    <w:rsid w:val="6AE87ED9"/>
    <w:rsid w:val="6AEA7C8A"/>
    <w:rsid w:val="6AF64882"/>
    <w:rsid w:val="6AFB1985"/>
    <w:rsid w:val="6AFE1AEC"/>
    <w:rsid w:val="6B0845B4"/>
    <w:rsid w:val="6B0A20DA"/>
    <w:rsid w:val="6B0B19AE"/>
    <w:rsid w:val="6B146AB5"/>
    <w:rsid w:val="6B23319C"/>
    <w:rsid w:val="6B292E9C"/>
    <w:rsid w:val="6B297183"/>
    <w:rsid w:val="6B2B6E09"/>
    <w:rsid w:val="6B2D1F37"/>
    <w:rsid w:val="6B362ECF"/>
    <w:rsid w:val="6B3709F5"/>
    <w:rsid w:val="6B3B488D"/>
    <w:rsid w:val="6B5307C5"/>
    <w:rsid w:val="6B543355"/>
    <w:rsid w:val="6B560E7C"/>
    <w:rsid w:val="6B6537B4"/>
    <w:rsid w:val="6B6F50E4"/>
    <w:rsid w:val="6B745CC4"/>
    <w:rsid w:val="6B7E88ED"/>
    <w:rsid w:val="6B880BEA"/>
    <w:rsid w:val="6B8923F7"/>
    <w:rsid w:val="6B914D41"/>
    <w:rsid w:val="6B9F25B8"/>
    <w:rsid w:val="6BA0659B"/>
    <w:rsid w:val="6BA22313"/>
    <w:rsid w:val="6BA73DCD"/>
    <w:rsid w:val="6BA8544F"/>
    <w:rsid w:val="6BB7E2E0"/>
    <w:rsid w:val="6BBF1117"/>
    <w:rsid w:val="6BBF2EC5"/>
    <w:rsid w:val="6BC427CD"/>
    <w:rsid w:val="6BC8789F"/>
    <w:rsid w:val="6BCA839B"/>
    <w:rsid w:val="6BD6020E"/>
    <w:rsid w:val="6BD9470B"/>
    <w:rsid w:val="6BDC1E93"/>
    <w:rsid w:val="6BFB6C5B"/>
    <w:rsid w:val="6BFC1B57"/>
    <w:rsid w:val="6C0A6040"/>
    <w:rsid w:val="6C0D4ACE"/>
    <w:rsid w:val="6C2076DB"/>
    <w:rsid w:val="6C250049"/>
    <w:rsid w:val="6C292A34"/>
    <w:rsid w:val="6C2D6C9C"/>
    <w:rsid w:val="6C3FAB14"/>
    <w:rsid w:val="6C4233CE"/>
    <w:rsid w:val="6C4360AC"/>
    <w:rsid w:val="6C4A2405"/>
    <w:rsid w:val="6C4F3C53"/>
    <w:rsid w:val="6C5C4BB7"/>
    <w:rsid w:val="6C621AA2"/>
    <w:rsid w:val="6C6C46CF"/>
    <w:rsid w:val="6C746900"/>
    <w:rsid w:val="6C8934D3"/>
    <w:rsid w:val="6C8C6B1F"/>
    <w:rsid w:val="6C8E2897"/>
    <w:rsid w:val="6C942417"/>
    <w:rsid w:val="6C9D62DF"/>
    <w:rsid w:val="6CA01EA5"/>
    <w:rsid w:val="6CAB5AAE"/>
    <w:rsid w:val="6CAE6FC4"/>
    <w:rsid w:val="6CB06CB1"/>
    <w:rsid w:val="6CB247D7"/>
    <w:rsid w:val="6CB61084"/>
    <w:rsid w:val="6CB71DEE"/>
    <w:rsid w:val="6CC62031"/>
    <w:rsid w:val="6CCD33BF"/>
    <w:rsid w:val="6CD21986"/>
    <w:rsid w:val="6CD72490"/>
    <w:rsid w:val="6CD96208"/>
    <w:rsid w:val="6CDA788A"/>
    <w:rsid w:val="6CE8644B"/>
    <w:rsid w:val="6CEB7CE9"/>
    <w:rsid w:val="6CED1CB3"/>
    <w:rsid w:val="6CF05300"/>
    <w:rsid w:val="6CF66663"/>
    <w:rsid w:val="6D013069"/>
    <w:rsid w:val="6D053824"/>
    <w:rsid w:val="6D0770B7"/>
    <w:rsid w:val="6D0A63C2"/>
    <w:rsid w:val="6D140FEE"/>
    <w:rsid w:val="6D1679A1"/>
    <w:rsid w:val="6D18386D"/>
    <w:rsid w:val="6D1D7C29"/>
    <w:rsid w:val="6D1F4781"/>
    <w:rsid w:val="6D226EE2"/>
    <w:rsid w:val="6D234BF1"/>
    <w:rsid w:val="6D247BF4"/>
    <w:rsid w:val="6D2A6A64"/>
    <w:rsid w:val="6D2D0302"/>
    <w:rsid w:val="6D31DCA6"/>
    <w:rsid w:val="6D321304"/>
    <w:rsid w:val="6D417909"/>
    <w:rsid w:val="6D464F20"/>
    <w:rsid w:val="6D535C01"/>
    <w:rsid w:val="6D57337A"/>
    <w:rsid w:val="6D5769BA"/>
    <w:rsid w:val="6D5E04BB"/>
    <w:rsid w:val="6D631157"/>
    <w:rsid w:val="6D633D24"/>
    <w:rsid w:val="6D723F67"/>
    <w:rsid w:val="6D766A8D"/>
    <w:rsid w:val="6D8E6FF3"/>
    <w:rsid w:val="6D985DE1"/>
    <w:rsid w:val="6D99484C"/>
    <w:rsid w:val="6D9B3F8B"/>
    <w:rsid w:val="6D9D07BB"/>
    <w:rsid w:val="6DAEC936"/>
    <w:rsid w:val="6DB427D1"/>
    <w:rsid w:val="6DB96BBA"/>
    <w:rsid w:val="6DBE53FE"/>
    <w:rsid w:val="6DBF47B2"/>
    <w:rsid w:val="6DC23311"/>
    <w:rsid w:val="6DC71477"/>
    <w:rsid w:val="6DC72505"/>
    <w:rsid w:val="6DD137A9"/>
    <w:rsid w:val="6DD339DB"/>
    <w:rsid w:val="6DD644F6"/>
    <w:rsid w:val="6DE22E9A"/>
    <w:rsid w:val="6DEBC215"/>
    <w:rsid w:val="6DED2A65"/>
    <w:rsid w:val="6DEE5CE3"/>
    <w:rsid w:val="6DF1621C"/>
    <w:rsid w:val="6DF66475"/>
    <w:rsid w:val="6DF7A619"/>
    <w:rsid w:val="6DFBB71B"/>
    <w:rsid w:val="6DFE5970"/>
    <w:rsid w:val="6E0146AF"/>
    <w:rsid w:val="6E0C7F17"/>
    <w:rsid w:val="6E1141A4"/>
    <w:rsid w:val="6E182D60"/>
    <w:rsid w:val="6E184B0E"/>
    <w:rsid w:val="6E237DA5"/>
    <w:rsid w:val="6E241705"/>
    <w:rsid w:val="6E290AC9"/>
    <w:rsid w:val="6E2A4C3D"/>
    <w:rsid w:val="6E2F3C06"/>
    <w:rsid w:val="6E3336CF"/>
    <w:rsid w:val="6E3F02ED"/>
    <w:rsid w:val="6E4027F5"/>
    <w:rsid w:val="6E4B4EE4"/>
    <w:rsid w:val="6E4C47B8"/>
    <w:rsid w:val="6E5518BE"/>
    <w:rsid w:val="6E571528"/>
    <w:rsid w:val="6E5C0465"/>
    <w:rsid w:val="6E7A324B"/>
    <w:rsid w:val="6E805A0E"/>
    <w:rsid w:val="6E843F52"/>
    <w:rsid w:val="6E860F34"/>
    <w:rsid w:val="6E95615F"/>
    <w:rsid w:val="6E9A24DD"/>
    <w:rsid w:val="6E9B274D"/>
    <w:rsid w:val="6EA2262A"/>
    <w:rsid w:val="6EA42846"/>
    <w:rsid w:val="6EA6036C"/>
    <w:rsid w:val="6EAE52B4"/>
    <w:rsid w:val="6EB34837"/>
    <w:rsid w:val="6EBC7B8F"/>
    <w:rsid w:val="6EBE56B6"/>
    <w:rsid w:val="6EC425A0"/>
    <w:rsid w:val="6ECB392F"/>
    <w:rsid w:val="6ECD4683"/>
    <w:rsid w:val="6ED8429D"/>
    <w:rsid w:val="6EDF8B49"/>
    <w:rsid w:val="6EE011B1"/>
    <w:rsid w:val="6EE9778A"/>
    <w:rsid w:val="6EEA75A4"/>
    <w:rsid w:val="6EFC7F8C"/>
    <w:rsid w:val="6EFF4036"/>
    <w:rsid w:val="6EFF5CCE"/>
    <w:rsid w:val="6EFFB21C"/>
    <w:rsid w:val="6F070DFD"/>
    <w:rsid w:val="6F085ACB"/>
    <w:rsid w:val="6F0D2199"/>
    <w:rsid w:val="6F1E43A6"/>
    <w:rsid w:val="6F1E7F02"/>
    <w:rsid w:val="6F241291"/>
    <w:rsid w:val="6F2D45E9"/>
    <w:rsid w:val="6F2E3EBD"/>
    <w:rsid w:val="6F347726"/>
    <w:rsid w:val="6F35CE87"/>
    <w:rsid w:val="6F370FC4"/>
    <w:rsid w:val="6F3E2CFE"/>
    <w:rsid w:val="6F4B8C15"/>
    <w:rsid w:val="6F4F5740"/>
    <w:rsid w:val="6F597AA1"/>
    <w:rsid w:val="6F5A5D94"/>
    <w:rsid w:val="6F64699B"/>
    <w:rsid w:val="6F6A5DDE"/>
    <w:rsid w:val="6F6B24E4"/>
    <w:rsid w:val="6F6C3363"/>
    <w:rsid w:val="6F726B79"/>
    <w:rsid w:val="6F738D3F"/>
    <w:rsid w:val="6F850103"/>
    <w:rsid w:val="6F8A0D93"/>
    <w:rsid w:val="6F8B3406"/>
    <w:rsid w:val="6F912DCA"/>
    <w:rsid w:val="6F947336"/>
    <w:rsid w:val="6F9C52CB"/>
    <w:rsid w:val="6F9F7BFE"/>
    <w:rsid w:val="6FA0300D"/>
    <w:rsid w:val="6FA32AFD"/>
    <w:rsid w:val="6FA42E90"/>
    <w:rsid w:val="6FAC19B2"/>
    <w:rsid w:val="6FAF3250"/>
    <w:rsid w:val="6FAFE9CC"/>
    <w:rsid w:val="6FB3C9A7"/>
    <w:rsid w:val="6FB97C2B"/>
    <w:rsid w:val="6FBB2814"/>
    <w:rsid w:val="6FBB4203"/>
    <w:rsid w:val="6FBBE756"/>
    <w:rsid w:val="6FBF4864"/>
    <w:rsid w:val="6FBFAA6A"/>
    <w:rsid w:val="6FC76A12"/>
    <w:rsid w:val="6FCA62DC"/>
    <w:rsid w:val="6FCBF9CA"/>
    <w:rsid w:val="6FCE2AEF"/>
    <w:rsid w:val="6FD79E4B"/>
    <w:rsid w:val="6FDB02AB"/>
    <w:rsid w:val="6FDE6714"/>
    <w:rsid w:val="6FDE87ED"/>
    <w:rsid w:val="6FDE8880"/>
    <w:rsid w:val="6FDFA1C0"/>
    <w:rsid w:val="6FDFCCB1"/>
    <w:rsid w:val="6FE74798"/>
    <w:rsid w:val="6FEE4ACD"/>
    <w:rsid w:val="6FEF7F44"/>
    <w:rsid w:val="6FF43359"/>
    <w:rsid w:val="6FF7137A"/>
    <w:rsid w:val="6FFBA2A1"/>
    <w:rsid w:val="6FFCF831"/>
    <w:rsid w:val="6FFE06DC"/>
    <w:rsid w:val="6FFE59A8"/>
    <w:rsid w:val="6FFF2E5A"/>
    <w:rsid w:val="6FFF61EB"/>
    <w:rsid w:val="6FFF93D2"/>
    <w:rsid w:val="70017C18"/>
    <w:rsid w:val="700E45FE"/>
    <w:rsid w:val="701557A9"/>
    <w:rsid w:val="70187047"/>
    <w:rsid w:val="701B2694"/>
    <w:rsid w:val="701E26CF"/>
    <w:rsid w:val="70210C11"/>
    <w:rsid w:val="702932C7"/>
    <w:rsid w:val="70313C65"/>
    <w:rsid w:val="70384FF4"/>
    <w:rsid w:val="704B11CB"/>
    <w:rsid w:val="705160B5"/>
    <w:rsid w:val="705D032F"/>
    <w:rsid w:val="705D4A5A"/>
    <w:rsid w:val="7060279C"/>
    <w:rsid w:val="70651B61"/>
    <w:rsid w:val="70666005"/>
    <w:rsid w:val="708B778D"/>
    <w:rsid w:val="70934920"/>
    <w:rsid w:val="70980188"/>
    <w:rsid w:val="709A1ED8"/>
    <w:rsid w:val="709D6074"/>
    <w:rsid w:val="70BC3E77"/>
    <w:rsid w:val="70C525FF"/>
    <w:rsid w:val="70D005A5"/>
    <w:rsid w:val="70DC0075"/>
    <w:rsid w:val="70E60EF4"/>
    <w:rsid w:val="70E62CA2"/>
    <w:rsid w:val="70ED2282"/>
    <w:rsid w:val="70F62BE1"/>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6F4E82"/>
    <w:rsid w:val="717402AD"/>
    <w:rsid w:val="71791D68"/>
    <w:rsid w:val="717B6A90"/>
    <w:rsid w:val="717E737E"/>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14119"/>
    <w:rsid w:val="72086C48"/>
    <w:rsid w:val="72117BE8"/>
    <w:rsid w:val="72175F68"/>
    <w:rsid w:val="721D6B97"/>
    <w:rsid w:val="721E646B"/>
    <w:rsid w:val="722021E3"/>
    <w:rsid w:val="722738F3"/>
    <w:rsid w:val="72296778"/>
    <w:rsid w:val="723475DE"/>
    <w:rsid w:val="724800A1"/>
    <w:rsid w:val="724C2FD8"/>
    <w:rsid w:val="724E2F8E"/>
    <w:rsid w:val="725105EF"/>
    <w:rsid w:val="725620A9"/>
    <w:rsid w:val="725B146D"/>
    <w:rsid w:val="726227FC"/>
    <w:rsid w:val="72646574"/>
    <w:rsid w:val="726A16B0"/>
    <w:rsid w:val="727E6F0A"/>
    <w:rsid w:val="727F03BC"/>
    <w:rsid w:val="72803F7F"/>
    <w:rsid w:val="72834520"/>
    <w:rsid w:val="728C1627"/>
    <w:rsid w:val="729606F7"/>
    <w:rsid w:val="729624A5"/>
    <w:rsid w:val="72A03062"/>
    <w:rsid w:val="72A13D86"/>
    <w:rsid w:val="72A5093A"/>
    <w:rsid w:val="72AC3A77"/>
    <w:rsid w:val="72B33057"/>
    <w:rsid w:val="72BB015E"/>
    <w:rsid w:val="72C74D55"/>
    <w:rsid w:val="72C75EBB"/>
    <w:rsid w:val="72C83284"/>
    <w:rsid w:val="72C84365"/>
    <w:rsid w:val="72D336FA"/>
    <w:rsid w:val="72D54D7C"/>
    <w:rsid w:val="72D80D10"/>
    <w:rsid w:val="72E9ACF4"/>
    <w:rsid w:val="72F13B80"/>
    <w:rsid w:val="72F5541E"/>
    <w:rsid w:val="72F86CBC"/>
    <w:rsid w:val="72FE60E2"/>
    <w:rsid w:val="730E4732"/>
    <w:rsid w:val="731E2E6D"/>
    <w:rsid w:val="731E7FAE"/>
    <w:rsid w:val="731F249B"/>
    <w:rsid w:val="732301DD"/>
    <w:rsid w:val="732F3B04"/>
    <w:rsid w:val="733D0B73"/>
    <w:rsid w:val="734939BC"/>
    <w:rsid w:val="734C0DB6"/>
    <w:rsid w:val="735760D9"/>
    <w:rsid w:val="73577500"/>
    <w:rsid w:val="73683E42"/>
    <w:rsid w:val="736B3932"/>
    <w:rsid w:val="736E5226"/>
    <w:rsid w:val="73752023"/>
    <w:rsid w:val="737652F3"/>
    <w:rsid w:val="737E8ED2"/>
    <w:rsid w:val="73832A2A"/>
    <w:rsid w:val="73927111"/>
    <w:rsid w:val="7399224D"/>
    <w:rsid w:val="739997CC"/>
    <w:rsid w:val="73A12E13"/>
    <w:rsid w:val="73A40BF2"/>
    <w:rsid w:val="73AD3F4B"/>
    <w:rsid w:val="73B54BAD"/>
    <w:rsid w:val="73BE8A55"/>
    <w:rsid w:val="73C47F1D"/>
    <w:rsid w:val="73CA760A"/>
    <w:rsid w:val="73CC612C"/>
    <w:rsid w:val="73DB0AB8"/>
    <w:rsid w:val="73E7745D"/>
    <w:rsid w:val="73EB6ED7"/>
    <w:rsid w:val="73F662A4"/>
    <w:rsid w:val="73FE0302"/>
    <w:rsid w:val="73FF64A5"/>
    <w:rsid w:val="7414108F"/>
    <w:rsid w:val="74213FF1"/>
    <w:rsid w:val="742C1313"/>
    <w:rsid w:val="742D6E39"/>
    <w:rsid w:val="744C5512"/>
    <w:rsid w:val="74510D7A"/>
    <w:rsid w:val="74654825"/>
    <w:rsid w:val="746622AE"/>
    <w:rsid w:val="746A5998"/>
    <w:rsid w:val="746D092B"/>
    <w:rsid w:val="746D368D"/>
    <w:rsid w:val="74732A9E"/>
    <w:rsid w:val="74746816"/>
    <w:rsid w:val="74786307"/>
    <w:rsid w:val="74792624"/>
    <w:rsid w:val="747E61FB"/>
    <w:rsid w:val="74850A24"/>
    <w:rsid w:val="748536C3"/>
    <w:rsid w:val="74890514"/>
    <w:rsid w:val="7496678D"/>
    <w:rsid w:val="749A6A33"/>
    <w:rsid w:val="749E5641"/>
    <w:rsid w:val="74B3733F"/>
    <w:rsid w:val="74B51309"/>
    <w:rsid w:val="74B83297"/>
    <w:rsid w:val="74BB67A0"/>
    <w:rsid w:val="74BF5DB8"/>
    <w:rsid w:val="74C94DB4"/>
    <w:rsid w:val="74CA0A50"/>
    <w:rsid w:val="74CE23CA"/>
    <w:rsid w:val="74D379E1"/>
    <w:rsid w:val="74DF75F3"/>
    <w:rsid w:val="74E83F39"/>
    <w:rsid w:val="75091655"/>
    <w:rsid w:val="751029E3"/>
    <w:rsid w:val="75153B55"/>
    <w:rsid w:val="75266B73"/>
    <w:rsid w:val="752E10BB"/>
    <w:rsid w:val="7534733C"/>
    <w:rsid w:val="753530F5"/>
    <w:rsid w:val="75371D1E"/>
    <w:rsid w:val="753C5F35"/>
    <w:rsid w:val="753D12FE"/>
    <w:rsid w:val="753F3B6D"/>
    <w:rsid w:val="75624B17"/>
    <w:rsid w:val="75641722"/>
    <w:rsid w:val="75736ACE"/>
    <w:rsid w:val="75741257"/>
    <w:rsid w:val="75750A98"/>
    <w:rsid w:val="75767ACF"/>
    <w:rsid w:val="7576F12E"/>
    <w:rsid w:val="757D16FB"/>
    <w:rsid w:val="75846F2D"/>
    <w:rsid w:val="75894543"/>
    <w:rsid w:val="758B49C4"/>
    <w:rsid w:val="758F4FAA"/>
    <w:rsid w:val="7590142E"/>
    <w:rsid w:val="75903794"/>
    <w:rsid w:val="75932CCC"/>
    <w:rsid w:val="759929D8"/>
    <w:rsid w:val="759C7DD3"/>
    <w:rsid w:val="75AA4844"/>
    <w:rsid w:val="75AB270C"/>
    <w:rsid w:val="75AB3F56"/>
    <w:rsid w:val="75B72A34"/>
    <w:rsid w:val="75BA46FD"/>
    <w:rsid w:val="75D1631E"/>
    <w:rsid w:val="75D91027"/>
    <w:rsid w:val="75DE663D"/>
    <w:rsid w:val="75EA8B89"/>
    <w:rsid w:val="75EF43A6"/>
    <w:rsid w:val="75FA2D4B"/>
    <w:rsid w:val="76032A67"/>
    <w:rsid w:val="76085468"/>
    <w:rsid w:val="761008DD"/>
    <w:rsid w:val="761C7166"/>
    <w:rsid w:val="762D05D3"/>
    <w:rsid w:val="762F11BB"/>
    <w:rsid w:val="76312C11"/>
    <w:rsid w:val="763B5477"/>
    <w:rsid w:val="763E70DC"/>
    <w:rsid w:val="76516E0F"/>
    <w:rsid w:val="765608C9"/>
    <w:rsid w:val="765B263C"/>
    <w:rsid w:val="765B3266"/>
    <w:rsid w:val="765E152C"/>
    <w:rsid w:val="7662726E"/>
    <w:rsid w:val="76633E0B"/>
    <w:rsid w:val="766D176F"/>
    <w:rsid w:val="766F3739"/>
    <w:rsid w:val="766F54E7"/>
    <w:rsid w:val="76766876"/>
    <w:rsid w:val="767B3E8C"/>
    <w:rsid w:val="767E3D26"/>
    <w:rsid w:val="76876CD5"/>
    <w:rsid w:val="768A0573"/>
    <w:rsid w:val="768F7938"/>
    <w:rsid w:val="769431A0"/>
    <w:rsid w:val="76967512"/>
    <w:rsid w:val="769D02A6"/>
    <w:rsid w:val="76A33700"/>
    <w:rsid w:val="76AF3B36"/>
    <w:rsid w:val="76BB697E"/>
    <w:rsid w:val="76BD26F7"/>
    <w:rsid w:val="76BE2F82"/>
    <w:rsid w:val="76BEDC27"/>
    <w:rsid w:val="76C03F95"/>
    <w:rsid w:val="76C53359"/>
    <w:rsid w:val="76D03ED9"/>
    <w:rsid w:val="76D5F4C1"/>
    <w:rsid w:val="76DD06A3"/>
    <w:rsid w:val="76E14113"/>
    <w:rsid w:val="76E82FD5"/>
    <w:rsid w:val="76EB7BDE"/>
    <w:rsid w:val="76ECDCB8"/>
    <w:rsid w:val="76FB16CC"/>
    <w:rsid w:val="76FE0619"/>
    <w:rsid w:val="76FF4526"/>
    <w:rsid w:val="76FF7C98"/>
    <w:rsid w:val="770519A8"/>
    <w:rsid w:val="7707CD8C"/>
    <w:rsid w:val="77194C99"/>
    <w:rsid w:val="771B5D78"/>
    <w:rsid w:val="771C566F"/>
    <w:rsid w:val="772269FE"/>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35F00"/>
    <w:rsid w:val="777466F8"/>
    <w:rsid w:val="777D8964"/>
    <w:rsid w:val="777FFB07"/>
    <w:rsid w:val="77844FC2"/>
    <w:rsid w:val="77A6B0EC"/>
    <w:rsid w:val="77A967D7"/>
    <w:rsid w:val="77AD6FE5"/>
    <w:rsid w:val="77AE203F"/>
    <w:rsid w:val="77AFDFAA"/>
    <w:rsid w:val="77B9B0C1"/>
    <w:rsid w:val="77BB025C"/>
    <w:rsid w:val="77C3487F"/>
    <w:rsid w:val="77CC339C"/>
    <w:rsid w:val="77D0756C"/>
    <w:rsid w:val="77DA2E34"/>
    <w:rsid w:val="77E89C76"/>
    <w:rsid w:val="77EF351B"/>
    <w:rsid w:val="77EFA6C6"/>
    <w:rsid w:val="77EFB7DB"/>
    <w:rsid w:val="77F24622"/>
    <w:rsid w:val="77F71ABD"/>
    <w:rsid w:val="77F9E98A"/>
    <w:rsid w:val="77FD261C"/>
    <w:rsid w:val="77FF2132"/>
    <w:rsid w:val="77FFA601"/>
    <w:rsid w:val="78056103"/>
    <w:rsid w:val="780D4FB8"/>
    <w:rsid w:val="78186E47"/>
    <w:rsid w:val="781E0F73"/>
    <w:rsid w:val="78253E41"/>
    <w:rsid w:val="782567A5"/>
    <w:rsid w:val="78292B58"/>
    <w:rsid w:val="78324A1E"/>
    <w:rsid w:val="783A0370"/>
    <w:rsid w:val="784309DA"/>
    <w:rsid w:val="784D7AAA"/>
    <w:rsid w:val="785931B9"/>
    <w:rsid w:val="786C6182"/>
    <w:rsid w:val="786F17CF"/>
    <w:rsid w:val="7876453C"/>
    <w:rsid w:val="787943FB"/>
    <w:rsid w:val="787B0173"/>
    <w:rsid w:val="787E7C64"/>
    <w:rsid w:val="78857244"/>
    <w:rsid w:val="788708AB"/>
    <w:rsid w:val="78872FBC"/>
    <w:rsid w:val="788B412F"/>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85AA2"/>
    <w:rsid w:val="790C526F"/>
    <w:rsid w:val="79142376"/>
    <w:rsid w:val="79202D63"/>
    <w:rsid w:val="79256331"/>
    <w:rsid w:val="792720A9"/>
    <w:rsid w:val="792B7DEB"/>
    <w:rsid w:val="79336CA0"/>
    <w:rsid w:val="793A0E79"/>
    <w:rsid w:val="793C6D38"/>
    <w:rsid w:val="79464C25"/>
    <w:rsid w:val="794C7D62"/>
    <w:rsid w:val="794D69CD"/>
    <w:rsid w:val="7954104A"/>
    <w:rsid w:val="79610FB0"/>
    <w:rsid w:val="796C62A2"/>
    <w:rsid w:val="796E1A86"/>
    <w:rsid w:val="797733A9"/>
    <w:rsid w:val="7984574E"/>
    <w:rsid w:val="7988058F"/>
    <w:rsid w:val="798E3ED6"/>
    <w:rsid w:val="798F1AF1"/>
    <w:rsid w:val="798F2860"/>
    <w:rsid w:val="799040F2"/>
    <w:rsid w:val="79910FC0"/>
    <w:rsid w:val="79915775"/>
    <w:rsid w:val="79935991"/>
    <w:rsid w:val="79984D55"/>
    <w:rsid w:val="7999045F"/>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325A"/>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A04A0"/>
    <w:rsid w:val="7A6B246A"/>
    <w:rsid w:val="7A6BC3FA"/>
    <w:rsid w:val="7A7632E8"/>
    <w:rsid w:val="7A770E0E"/>
    <w:rsid w:val="7A7E03EF"/>
    <w:rsid w:val="7A874E3E"/>
    <w:rsid w:val="7A8F3D47"/>
    <w:rsid w:val="7A9279F6"/>
    <w:rsid w:val="7A9E45ED"/>
    <w:rsid w:val="7A9E639B"/>
    <w:rsid w:val="7AA00365"/>
    <w:rsid w:val="7AA17C39"/>
    <w:rsid w:val="7AA86C83"/>
    <w:rsid w:val="7AAD6FF0"/>
    <w:rsid w:val="7AAE0891"/>
    <w:rsid w:val="7AB04E01"/>
    <w:rsid w:val="7AB120D5"/>
    <w:rsid w:val="7AB9B43B"/>
    <w:rsid w:val="7ABA6035"/>
    <w:rsid w:val="7ABC2F89"/>
    <w:rsid w:val="7ABC5759"/>
    <w:rsid w:val="7ABD409A"/>
    <w:rsid w:val="7AC932FE"/>
    <w:rsid w:val="7AD248B0"/>
    <w:rsid w:val="7AD370EC"/>
    <w:rsid w:val="7AD39BC2"/>
    <w:rsid w:val="7AD74FC0"/>
    <w:rsid w:val="7AD81BC9"/>
    <w:rsid w:val="7AD95625"/>
    <w:rsid w:val="7ADF999D"/>
    <w:rsid w:val="7AE71188"/>
    <w:rsid w:val="7AEA30EA"/>
    <w:rsid w:val="7AEBE833"/>
    <w:rsid w:val="7AEE2BF2"/>
    <w:rsid w:val="7AF12344"/>
    <w:rsid w:val="7AF91823"/>
    <w:rsid w:val="7AF95CC7"/>
    <w:rsid w:val="7AFB7C1C"/>
    <w:rsid w:val="7AFD5F92"/>
    <w:rsid w:val="7B052E72"/>
    <w:rsid w:val="7B0A2151"/>
    <w:rsid w:val="7B0D52CF"/>
    <w:rsid w:val="7B292109"/>
    <w:rsid w:val="7B2E771F"/>
    <w:rsid w:val="7B3C2AA4"/>
    <w:rsid w:val="7B450F0D"/>
    <w:rsid w:val="7B456B50"/>
    <w:rsid w:val="7B4E674A"/>
    <w:rsid w:val="7B5237E2"/>
    <w:rsid w:val="7B7535A0"/>
    <w:rsid w:val="7B7610C6"/>
    <w:rsid w:val="7B7F577C"/>
    <w:rsid w:val="7B823FE2"/>
    <w:rsid w:val="7B845591"/>
    <w:rsid w:val="7B851309"/>
    <w:rsid w:val="7B892BA7"/>
    <w:rsid w:val="7B8C2698"/>
    <w:rsid w:val="7B914152"/>
    <w:rsid w:val="7B9B0B2D"/>
    <w:rsid w:val="7B9D2AF7"/>
    <w:rsid w:val="7B9D48A5"/>
    <w:rsid w:val="7B9F061D"/>
    <w:rsid w:val="7BA07EF1"/>
    <w:rsid w:val="7BA626CD"/>
    <w:rsid w:val="7BAB0D70"/>
    <w:rsid w:val="7BAB5214"/>
    <w:rsid w:val="7BAB6FC2"/>
    <w:rsid w:val="7BBD76FB"/>
    <w:rsid w:val="7BC2255D"/>
    <w:rsid w:val="7BC462D5"/>
    <w:rsid w:val="7BC71922"/>
    <w:rsid w:val="7BC9569A"/>
    <w:rsid w:val="7BCA0ED5"/>
    <w:rsid w:val="7BCB7664"/>
    <w:rsid w:val="7BCC3178"/>
    <w:rsid w:val="7BCD68AD"/>
    <w:rsid w:val="7BCE7A18"/>
    <w:rsid w:val="7BD01FA7"/>
    <w:rsid w:val="7BD04C7A"/>
    <w:rsid w:val="7BD13CB6"/>
    <w:rsid w:val="7BD9715F"/>
    <w:rsid w:val="7BE10C35"/>
    <w:rsid w:val="7BE129E3"/>
    <w:rsid w:val="7BE36436"/>
    <w:rsid w:val="7BEBF838"/>
    <w:rsid w:val="7BF30CB4"/>
    <w:rsid w:val="7BF344C5"/>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1CA5"/>
    <w:rsid w:val="7C286864"/>
    <w:rsid w:val="7C2FBC68"/>
    <w:rsid w:val="7C3C7A60"/>
    <w:rsid w:val="7C3D3992"/>
    <w:rsid w:val="7C3F595C"/>
    <w:rsid w:val="7C6453C2"/>
    <w:rsid w:val="7C743857"/>
    <w:rsid w:val="7C7FDA07"/>
    <w:rsid w:val="7C8141C6"/>
    <w:rsid w:val="7C821F38"/>
    <w:rsid w:val="7C833A9B"/>
    <w:rsid w:val="7C8E78F8"/>
    <w:rsid w:val="7C8F243F"/>
    <w:rsid w:val="7C9C2DAE"/>
    <w:rsid w:val="7CB225D2"/>
    <w:rsid w:val="7CC3033B"/>
    <w:rsid w:val="7CC43EF5"/>
    <w:rsid w:val="7CE02C9B"/>
    <w:rsid w:val="7CE543A5"/>
    <w:rsid w:val="7CEB342B"/>
    <w:rsid w:val="7CED083B"/>
    <w:rsid w:val="7CED9261"/>
    <w:rsid w:val="7CF16C56"/>
    <w:rsid w:val="7CF46746"/>
    <w:rsid w:val="7CF95B0B"/>
    <w:rsid w:val="7D00333D"/>
    <w:rsid w:val="7D056BA5"/>
    <w:rsid w:val="7D080444"/>
    <w:rsid w:val="7D0F3580"/>
    <w:rsid w:val="7D1B0177"/>
    <w:rsid w:val="7D1B3767"/>
    <w:rsid w:val="7D20753B"/>
    <w:rsid w:val="7D271D23"/>
    <w:rsid w:val="7D2C7C8E"/>
    <w:rsid w:val="7D2F3C22"/>
    <w:rsid w:val="7D352C96"/>
    <w:rsid w:val="7D360B0D"/>
    <w:rsid w:val="7D3D1E9B"/>
    <w:rsid w:val="7D3E3E65"/>
    <w:rsid w:val="7D4A21B7"/>
    <w:rsid w:val="7D4B74C7"/>
    <w:rsid w:val="7D4C6582"/>
    <w:rsid w:val="7D4F7E21"/>
    <w:rsid w:val="7D56507F"/>
    <w:rsid w:val="7D56CB3F"/>
    <w:rsid w:val="7D5F49FE"/>
    <w:rsid w:val="7D6E474B"/>
    <w:rsid w:val="7D6FCE77"/>
    <w:rsid w:val="7D7A30EF"/>
    <w:rsid w:val="7D7A4E9D"/>
    <w:rsid w:val="7D893462"/>
    <w:rsid w:val="7D8A2C07"/>
    <w:rsid w:val="7D9A1F9C"/>
    <w:rsid w:val="7D9C4987"/>
    <w:rsid w:val="7D9DF154"/>
    <w:rsid w:val="7D9F66B2"/>
    <w:rsid w:val="7DA243F4"/>
    <w:rsid w:val="7DA57332"/>
    <w:rsid w:val="7DA94A5D"/>
    <w:rsid w:val="7DAA3FF0"/>
    <w:rsid w:val="7DB119FE"/>
    <w:rsid w:val="7DB303AF"/>
    <w:rsid w:val="7DBA04E2"/>
    <w:rsid w:val="7DBA7990"/>
    <w:rsid w:val="7DBFD4DA"/>
    <w:rsid w:val="7DBFE492"/>
    <w:rsid w:val="7DC07661"/>
    <w:rsid w:val="7DCC321F"/>
    <w:rsid w:val="7DCE1294"/>
    <w:rsid w:val="7DD12FF3"/>
    <w:rsid w:val="7DD6409E"/>
    <w:rsid w:val="7DD82296"/>
    <w:rsid w:val="7DDA1DE0"/>
    <w:rsid w:val="7DDE2F59"/>
    <w:rsid w:val="7DE70059"/>
    <w:rsid w:val="7DE7680A"/>
    <w:rsid w:val="7DEB48ED"/>
    <w:rsid w:val="7DEC14A3"/>
    <w:rsid w:val="7DEF06AE"/>
    <w:rsid w:val="7DF0147B"/>
    <w:rsid w:val="7DF3182F"/>
    <w:rsid w:val="7DF7FFCB"/>
    <w:rsid w:val="7DFA7BA6"/>
    <w:rsid w:val="7DFB205E"/>
    <w:rsid w:val="7DFD358F"/>
    <w:rsid w:val="7DFD425E"/>
    <w:rsid w:val="7DFF1F99"/>
    <w:rsid w:val="7DFFACB5"/>
    <w:rsid w:val="7E002EC9"/>
    <w:rsid w:val="7E054EEF"/>
    <w:rsid w:val="7E0724A9"/>
    <w:rsid w:val="7E162A33"/>
    <w:rsid w:val="7E2117BD"/>
    <w:rsid w:val="7E215319"/>
    <w:rsid w:val="7E233A0A"/>
    <w:rsid w:val="7E235535"/>
    <w:rsid w:val="7E243CB7"/>
    <w:rsid w:val="7E282B4B"/>
    <w:rsid w:val="7E2B263C"/>
    <w:rsid w:val="7E3E236F"/>
    <w:rsid w:val="7E3E2C97"/>
    <w:rsid w:val="7E3E2F52"/>
    <w:rsid w:val="7E3F5D06"/>
    <w:rsid w:val="7E412536"/>
    <w:rsid w:val="7E484F9C"/>
    <w:rsid w:val="7E553215"/>
    <w:rsid w:val="7E5576B9"/>
    <w:rsid w:val="7E6410E3"/>
    <w:rsid w:val="7E676E21"/>
    <w:rsid w:val="7E6817D6"/>
    <w:rsid w:val="7E745D91"/>
    <w:rsid w:val="7E747B3F"/>
    <w:rsid w:val="7E7BFECB"/>
    <w:rsid w:val="7E7D1E2A"/>
    <w:rsid w:val="7E843AFA"/>
    <w:rsid w:val="7E8A55B4"/>
    <w:rsid w:val="7E8B4E88"/>
    <w:rsid w:val="7E982B14"/>
    <w:rsid w:val="7EA72A07"/>
    <w:rsid w:val="7EAA512E"/>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A3156"/>
    <w:rsid w:val="7EFDC041"/>
    <w:rsid w:val="7EFF19E3"/>
    <w:rsid w:val="7EFF3919"/>
    <w:rsid w:val="7EFF872B"/>
    <w:rsid w:val="7EFFA73A"/>
    <w:rsid w:val="7F1B445E"/>
    <w:rsid w:val="7F211349"/>
    <w:rsid w:val="7F2151CC"/>
    <w:rsid w:val="7F231565"/>
    <w:rsid w:val="7F232C50"/>
    <w:rsid w:val="7F2B01C4"/>
    <w:rsid w:val="7F2BEF08"/>
    <w:rsid w:val="7F2C666B"/>
    <w:rsid w:val="7F2F2562"/>
    <w:rsid w:val="7F402117"/>
    <w:rsid w:val="7F435763"/>
    <w:rsid w:val="7F475253"/>
    <w:rsid w:val="7F477001"/>
    <w:rsid w:val="7F4D38FD"/>
    <w:rsid w:val="7F5A373D"/>
    <w:rsid w:val="7F5E3367"/>
    <w:rsid w:val="7F5F2281"/>
    <w:rsid w:val="7F5F3D40"/>
    <w:rsid w:val="7F60371C"/>
    <w:rsid w:val="7F62208D"/>
    <w:rsid w:val="7F68781F"/>
    <w:rsid w:val="7F6A231E"/>
    <w:rsid w:val="7F7141B4"/>
    <w:rsid w:val="7F752B5D"/>
    <w:rsid w:val="7F75710D"/>
    <w:rsid w:val="7F761695"/>
    <w:rsid w:val="7F775F1F"/>
    <w:rsid w:val="7F77C408"/>
    <w:rsid w:val="7F7ECDF0"/>
    <w:rsid w:val="7F7F1902"/>
    <w:rsid w:val="7F7F85A2"/>
    <w:rsid w:val="7F840EED"/>
    <w:rsid w:val="7F857B2A"/>
    <w:rsid w:val="7F8F2064"/>
    <w:rsid w:val="7F93112B"/>
    <w:rsid w:val="7F9B651A"/>
    <w:rsid w:val="7F9D45ED"/>
    <w:rsid w:val="7F9D4E73"/>
    <w:rsid w:val="7F9E0F54"/>
    <w:rsid w:val="7FA5CF7E"/>
    <w:rsid w:val="7FADB5D1"/>
    <w:rsid w:val="7FAE0B76"/>
    <w:rsid w:val="7FAF3472"/>
    <w:rsid w:val="7FB359B9"/>
    <w:rsid w:val="7FB473C1"/>
    <w:rsid w:val="7FB68DF0"/>
    <w:rsid w:val="7FB78166"/>
    <w:rsid w:val="7FBBE0B5"/>
    <w:rsid w:val="7FBBF7C9"/>
    <w:rsid w:val="7FBE3FE6"/>
    <w:rsid w:val="7FBF7622"/>
    <w:rsid w:val="7FC20D7E"/>
    <w:rsid w:val="7FC27694"/>
    <w:rsid w:val="7FCD5CFF"/>
    <w:rsid w:val="7FCD90FC"/>
    <w:rsid w:val="7FCDECF9"/>
    <w:rsid w:val="7FCEB343"/>
    <w:rsid w:val="7FD35744"/>
    <w:rsid w:val="7FD50AF8"/>
    <w:rsid w:val="7FD665D7"/>
    <w:rsid w:val="7FD750AF"/>
    <w:rsid w:val="7FDB19D4"/>
    <w:rsid w:val="7FDB8E27"/>
    <w:rsid w:val="7FDD74B8"/>
    <w:rsid w:val="7FDE0153"/>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59E1"/>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B4EB753"/>
    <w:rsid w:val="8FDB939A"/>
    <w:rsid w:val="93AE1507"/>
    <w:rsid w:val="96AEB894"/>
    <w:rsid w:val="977B5D60"/>
    <w:rsid w:val="977E31FF"/>
    <w:rsid w:val="979F0F7F"/>
    <w:rsid w:val="97FCC005"/>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BEF4A34"/>
    <w:rsid w:val="ACB5D895"/>
    <w:rsid w:val="ACF9F370"/>
    <w:rsid w:val="ACFF783F"/>
    <w:rsid w:val="AD9B442F"/>
    <w:rsid w:val="ADBC833D"/>
    <w:rsid w:val="ADDEBFB5"/>
    <w:rsid w:val="ADED50AF"/>
    <w:rsid w:val="ADF7A2A9"/>
    <w:rsid w:val="ADFB6A3F"/>
    <w:rsid w:val="AEBBA222"/>
    <w:rsid w:val="AEFFDC90"/>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BE629A"/>
    <w:rsid w:val="BBDE1958"/>
    <w:rsid w:val="BBDFB0CF"/>
    <w:rsid w:val="BBEF43C5"/>
    <w:rsid w:val="BBEFCB6F"/>
    <w:rsid w:val="BCEA7C28"/>
    <w:rsid w:val="BCF75D7A"/>
    <w:rsid w:val="BCF94F3D"/>
    <w:rsid w:val="BCFFD504"/>
    <w:rsid w:val="BD63426D"/>
    <w:rsid w:val="BDB72374"/>
    <w:rsid w:val="BDD8EF78"/>
    <w:rsid w:val="BDFC71E1"/>
    <w:rsid w:val="BDFCB6F1"/>
    <w:rsid w:val="BDFEDD7D"/>
    <w:rsid w:val="BE57F877"/>
    <w:rsid w:val="BE725299"/>
    <w:rsid w:val="BEA76596"/>
    <w:rsid w:val="BEAA0743"/>
    <w:rsid w:val="BEBAE066"/>
    <w:rsid w:val="BEF555C8"/>
    <w:rsid w:val="BEFD1E7C"/>
    <w:rsid w:val="BEFE19F0"/>
    <w:rsid w:val="BEFF2A67"/>
    <w:rsid w:val="BF1E064A"/>
    <w:rsid w:val="BF3FB700"/>
    <w:rsid w:val="BF3FFF29"/>
    <w:rsid w:val="BF438EB3"/>
    <w:rsid w:val="BF5FDA4B"/>
    <w:rsid w:val="BF670905"/>
    <w:rsid w:val="BF751162"/>
    <w:rsid w:val="BFBF5AA3"/>
    <w:rsid w:val="BFBFE19A"/>
    <w:rsid w:val="BFD55ED7"/>
    <w:rsid w:val="BFE32BE4"/>
    <w:rsid w:val="BFEF5E2B"/>
    <w:rsid w:val="BFEFC667"/>
    <w:rsid w:val="BFF118E9"/>
    <w:rsid w:val="BFF20B29"/>
    <w:rsid w:val="BFF90C36"/>
    <w:rsid w:val="BFFB9176"/>
    <w:rsid w:val="BFFC614F"/>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371977"/>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1ABF"/>
    <w:rsid w:val="DF792033"/>
    <w:rsid w:val="DF7DDE45"/>
    <w:rsid w:val="DF7F0806"/>
    <w:rsid w:val="DF7F6559"/>
    <w:rsid w:val="DFAB3EEC"/>
    <w:rsid w:val="DFBB277E"/>
    <w:rsid w:val="DFBCD0BC"/>
    <w:rsid w:val="DFBD1572"/>
    <w:rsid w:val="DFBE6473"/>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DFFF9489"/>
    <w:rsid w:val="E2FE1DFC"/>
    <w:rsid w:val="E374C507"/>
    <w:rsid w:val="E3FB990F"/>
    <w:rsid w:val="E47F08F1"/>
    <w:rsid w:val="E55F3C44"/>
    <w:rsid w:val="E6D76A9D"/>
    <w:rsid w:val="E73683A0"/>
    <w:rsid w:val="E75FE119"/>
    <w:rsid w:val="E76EB1CD"/>
    <w:rsid w:val="E79BB269"/>
    <w:rsid w:val="E7CFA920"/>
    <w:rsid w:val="E7E74F06"/>
    <w:rsid w:val="E7F91BFC"/>
    <w:rsid w:val="E7FD669B"/>
    <w:rsid w:val="E97FF5A4"/>
    <w:rsid w:val="E9DFD3E9"/>
    <w:rsid w:val="E9E92F20"/>
    <w:rsid w:val="EAFB9A15"/>
    <w:rsid w:val="EB5EC710"/>
    <w:rsid w:val="EB69FD76"/>
    <w:rsid w:val="EB776932"/>
    <w:rsid w:val="EB8FCC53"/>
    <w:rsid w:val="EBB765B3"/>
    <w:rsid w:val="EBBF5969"/>
    <w:rsid w:val="EBBF7A62"/>
    <w:rsid w:val="EBD76472"/>
    <w:rsid w:val="EBF9DF1F"/>
    <w:rsid w:val="EBFEF502"/>
    <w:rsid w:val="EC7FEDDE"/>
    <w:rsid w:val="ECBF5C29"/>
    <w:rsid w:val="ECFF93EE"/>
    <w:rsid w:val="ED1623AA"/>
    <w:rsid w:val="ED5FC6D5"/>
    <w:rsid w:val="ED9E0D66"/>
    <w:rsid w:val="EDBFBFB8"/>
    <w:rsid w:val="EDCF4895"/>
    <w:rsid w:val="EDF3AE4B"/>
    <w:rsid w:val="EDFFB186"/>
    <w:rsid w:val="EE6F7CE4"/>
    <w:rsid w:val="EEFAB7B5"/>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DFF84A"/>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7D9F9"/>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DD6EC"/>
    <w:rsid w:val="FB2B8857"/>
    <w:rsid w:val="FB3FAA27"/>
    <w:rsid w:val="FB4F3BE6"/>
    <w:rsid w:val="FB5FD576"/>
    <w:rsid w:val="FB6CC687"/>
    <w:rsid w:val="FB6F2865"/>
    <w:rsid w:val="FB7A7BC4"/>
    <w:rsid w:val="FB7F1D6E"/>
    <w:rsid w:val="FB7F5F49"/>
    <w:rsid w:val="FB8567F8"/>
    <w:rsid w:val="FBBB0F51"/>
    <w:rsid w:val="FBBF8926"/>
    <w:rsid w:val="FBDE057B"/>
    <w:rsid w:val="FBE7E99D"/>
    <w:rsid w:val="FBEE6A4C"/>
    <w:rsid w:val="FBEFF7F2"/>
    <w:rsid w:val="FBF0F819"/>
    <w:rsid w:val="FBF3E2F3"/>
    <w:rsid w:val="FBFA4A6A"/>
    <w:rsid w:val="FBFA7BE4"/>
    <w:rsid w:val="FBFCCF44"/>
    <w:rsid w:val="FBFD5255"/>
    <w:rsid w:val="FBFF3149"/>
    <w:rsid w:val="FBFF3C27"/>
    <w:rsid w:val="FBFF472E"/>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71552"/>
    <w:rsid w:val="FDBA724F"/>
    <w:rsid w:val="FDBB0B68"/>
    <w:rsid w:val="FDBB9E2A"/>
    <w:rsid w:val="FDBBE158"/>
    <w:rsid w:val="FDC7E36B"/>
    <w:rsid w:val="FDCD5D28"/>
    <w:rsid w:val="FDD3043D"/>
    <w:rsid w:val="FDD74E71"/>
    <w:rsid w:val="FDDD8976"/>
    <w:rsid w:val="FDDF0627"/>
    <w:rsid w:val="FDE7C236"/>
    <w:rsid w:val="FDF5EC4E"/>
    <w:rsid w:val="FDF74B6C"/>
    <w:rsid w:val="FDFBC5A9"/>
    <w:rsid w:val="FDFCB872"/>
    <w:rsid w:val="FDFDA31A"/>
    <w:rsid w:val="FDFEB510"/>
    <w:rsid w:val="FDFFB731"/>
    <w:rsid w:val="FDFFDBE0"/>
    <w:rsid w:val="FE4DF147"/>
    <w:rsid w:val="FE53E524"/>
    <w:rsid w:val="FE5A8096"/>
    <w:rsid w:val="FE5F9864"/>
    <w:rsid w:val="FE664429"/>
    <w:rsid w:val="FE7C22A9"/>
    <w:rsid w:val="FE7DB371"/>
    <w:rsid w:val="FEDA5853"/>
    <w:rsid w:val="FEDD66A5"/>
    <w:rsid w:val="FEDED5A3"/>
    <w:rsid w:val="FEED5B06"/>
    <w:rsid w:val="FEFB06D3"/>
    <w:rsid w:val="FEFC5FA5"/>
    <w:rsid w:val="FEFF6A9F"/>
    <w:rsid w:val="FEFF7D9C"/>
    <w:rsid w:val="FF079EB0"/>
    <w:rsid w:val="FF1E567A"/>
    <w:rsid w:val="FF29E2F7"/>
    <w:rsid w:val="FF332E34"/>
    <w:rsid w:val="FF35E165"/>
    <w:rsid w:val="FF3B9D7C"/>
    <w:rsid w:val="FF3BF4F2"/>
    <w:rsid w:val="FF3F332B"/>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49F9"/>
    <w:rsid w:val="FFBFC0DC"/>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ED8FD3"/>
    <w:rsid w:val="FFF3E6C2"/>
    <w:rsid w:val="FFF59DDE"/>
    <w:rsid w:val="FFF6FC87"/>
    <w:rsid w:val="FFF72FD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3"/>
    <w:qFormat/>
    <w:uiPriority w:val="0"/>
    <w:pPr>
      <w:keepNext/>
      <w:keepLines/>
      <w:spacing w:before="340" w:after="330" w:line="578" w:lineRule="auto"/>
      <w:outlineLvl w:val="0"/>
    </w:pPr>
    <w:rPr>
      <w:rFonts w:hint="default" w:cs="Times New Roman"/>
      <w:b/>
      <w:bCs/>
      <w:kern w:val="44"/>
      <w:sz w:val="44"/>
      <w:szCs w:val="44"/>
    </w:rPr>
  </w:style>
  <w:style w:type="paragraph" w:styleId="7">
    <w:name w:val="heading 2"/>
    <w:basedOn w:val="1"/>
    <w:next w:val="1"/>
    <w:link w:val="74"/>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8">
    <w:name w:val="heading 3"/>
    <w:basedOn w:val="1"/>
    <w:next w:val="1"/>
    <w:link w:val="75"/>
    <w:qFormat/>
    <w:uiPriority w:val="0"/>
    <w:pPr>
      <w:keepNext/>
      <w:keepLines/>
      <w:spacing w:before="260" w:after="260" w:line="416" w:lineRule="auto"/>
      <w:outlineLvl w:val="2"/>
    </w:pPr>
    <w:rPr>
      <w:rFonts w:hint="default" w:cs="Times New Roman"/>
      <w:b/>
      <w:bCs/>
      <w:kern w:val="0"/>
      <w:sz w:val="32"/>
      <w:szCs w:val="32"/>
    </w:rPr>
  </w:style>
  <w:style w:type="paragraph" w:styleId="9">
    <w:name w:val="heading 4"/>
    <w:basedOn w:val="1"/>
    <w:next w:val="1"/>
    <w:link w:val="76"/>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0">
    <w:name w:val="heading 5"/>
    <w:basedOn w:val="1"/>
    <w:next w:val="1"/>
    <w:link w:val="77"/>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1">
    <w:name w:val="heading 6"/>
    <w:basedOn w:val="1"/>
    <w:next w:val="1"/>
    <w:link w:val="78"/>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2">
    <w:name w:val="heading 7"/>
    <w:basedOn w:val="1"/>
    <w:next w:val="1"/>
    <w:link w:val="79"/>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3">
    <w:name w:val="heading 8"/>
    <w:basedOn w:val="1"/>
    <w:next w:val="1"/>
    <w:link w:val="80"/>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4">
    <w:name w:val="heading 9"/>
    <w:basedOn w:val="1"/>
    <w:next w:val="1"/>
    <w:link w:val="81"/>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Plain Text"/>
    <w:basedOn w:val="1"/>
    <w:next w:val="4"/>
    <w:link w:val="87"/>
    <w:qFormat/>
    <w:uiPriority w:val="0"/>
    <w:pPr>
      <w:widowControl w:val="0"/>
    </w:pPr>
    <w:rPr>
      <w:rFonts w:hint="default" w:ascii="宋体" w:hAnsi="Courier New" w:eastAsia="宋体" w:cs="Times New Roman"/>
      <w:color w:val="auto"/>
      <w:kern w:val="0"/>
      <w:sz w:val="20"/>
      <w:szCs w:val="20"/>
    </w:rPr>
  </w:style>
  <w:style w:type="paragraph" w:styleId="4">
    <w:name w:val="Body Text"/>
    <w:basedOn w:val="1"/>
    <w:next w:val="1"/>
    <w:link w:val="85"/>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5">
    <w:name w:val="table of figures"/>
    <w:basedOn w:val="1"/>
    <w:next w:val="1"/>
    <w:qFormat/>
    <w:uiPriority w:val="0"/>
    <w:pPr>
      <w:ind w:left="200" w:leftChars="200" w:hanging="200" w:hangingChars="200"/>
    </w:pPr>
    <w:rPr>
      <w:rFonts w:ascii="Times New Roman" w:hAnsi="Times New Roma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table of authorities"/>
    <w:basedOn w:val="1"/>
    <w:next w:val="1"/>
    <w:qFormat/>
    <w:uiPriority w:val="0"/>
    <w:pPr>
      <w:ind w:left="420" w:leftChars="200"/>
    </w:pPr>
  </w:style>
  <w:style w:type="paragraph" w:styleId="17">
    <w:name w:val="Normal Indent"/>
    <w:basedOn w:val="1"/>
    <w:link w:val="82"/>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8">
    <w:name w:val="Document Map"/>
    <w:basedOn w:val="1"/>
    <w:semiHidden/>
    <w:qFormat/>
    <w:uiPriority w:val="0"/>
    <w:pPr>
      <w:shd w:val="clear" w:color="auto" w:fill="000080"/>
    </w:pPr>
  </w:style>
  <w:style w:type="paragraph" w:styleId="19">
    <w:name w:val="annotation text"/>
    <w:basedOn w:val="1"/>
    <w:link w:val="83"/>
    <w:unhideWhenUsed/>
    <w:qFormat/>
    <w:uiPriority w:val="0"/>
    <w:pPr>
      <w:jc w:val="left"/>
    </w:pPr>
    <w:rPr>
      <w:rFonts w:hint="default" w:cs="Times New Roman"/>
      <w:kern w:val="0"/>
      <w:sz w:val="20"/>
    </w:rPr>
  </w:style>
  <w:style w:type="paragraph" w:styleId="20">
    <w:name w:val="Body Text 3"/>
    <w:basedOn w:val="1"/>
    <w:link w:val="84"/>
    <w:qFormat/>
    <w:uiPriority w:val="0"/>
    <w:pPr>
      <w:widowControl w:val="0"/>
      <w:spacing w:after="120"/>
    </w:pPr>
    <w:rPr>
      <w:rFonts w:hint="default" w:ascii="Times New Roman" w:hAnsi="Times New Roman" w:eastAsia="宋体" w:cs="Times New Roman"/>
      <w:color w:val="auto"/>
      <w:sz w:val="16"/>
      <w:szCs w:val="16"/>
    </w:rPr>
  </w:style>
  <w:style w:type="paragraph" w:styleId="21">
    <w:name w:val="Body Text Indent"/>
    <w:basedOn w:val="1"/>
    <w:next w:val="22"/>
    <w:link w:val="86"/>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22">
    <w:name w:val="envelope return"/>
    <w:basedOn w:val="1"/>
    <w:unhideWhenUsed/>
    <w:qFormat/>
    <w:uiPriority w:val="99"/>
    <w:pPr>
      <w:snapToGrid w:val="0"/>
    </w:pPr>
    <w:rPr>
      <w:rFonts w:ascii="Arial" w:hAnsi="Arial"/>
    </w:rPr>
  </w:style>
  <w:style w:type="paragraph" w:styleId="23">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4">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5">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6">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7">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8">
    <w:name w:val="Date"/>
    <w:basedOn w:val="1"/>
    <w:next w:val="1"/>
    <w:link w:val="88"/>
    <w:qFormat/>
    <w:uiPriority w:val="99"/>
    <w:pPr>
      <w:widowControl w:val="0"/>
      <w:ind w:left="100" w:leftChars="2500"/>
    </w:pPr>
    <w:rPr>
      <w:rFonts w:hint="default" w:ascii="仿宋_GB2312" w:hAnsi="宋体" w:eastAsia="仿宋_GB2312" w:cs="Times New Roman"/>
      <w:sz w:val="24"/>
      <w:szCs w:val="24"/>
    </w:rPr>
  </w:style>
  <w:style w:type="paragraph" w:styleId="29">
    <w:name w:val="Body Text Indent 2"/>
    <w:basedOn w:val="1"/>
    <w:link w:val="89"/>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30">
    <w:name w:val="Balloon Text"/>
    <w:basedOn w:val="1"/>
    <w:link w:val="90"/>
    <w:unhideWhenUsed/>
    <w:qFormat/>
    <w:uiPriority w:val="99"/>
    <w:rPr>
      <w:rFonts w:hint="default" w:cs="Times New Roman"/>
      <w:kern w:val="0"/>
      <w:sz w:val="18"/>
      <w:szCs w:val="18"/>
    </w:rPr>
  </w:style>
  <w:style w:type="paragraph" w:styleId="31">
    <w:name w:val="footer"/>
    <w:basedOn w:val="1"/>
    <w:link w:val="91"/>
    <w:qFormat/>
    <w:uiPriority w:val="99"/>
    <w:pPr>
      <w:tabs>
        <w:tab w:val="center" w:pos="4153"/>
        <w:tab w:val="right" w:pos="8306"/>
      </w:tabs>
    </w:pPr>
    <w:rPr>
      <w:rFonts w:hint="default" w:ascii="宋体" w:hAnsi="宋体" w:eastAsia="宋体" w:cs="Times New Roman"/>
      <w:kern w:val="0"/>
      <w:sz w:val="18"/>
      <w:szCs w:val="18"/>
    </w:rPr>
  </w:style>
  <w:style w:type="paragraph" w:styleId="32">
    <w:name w:val="header"/>
    <w:basedOn w:val="1"/>
    <w:link w:val="92"/>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3">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6">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7">
    <w:name w:val="footnote text"/>
    <w:basedOn w:val="1"/>
    <w:link w:val="93"/>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8">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9">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40">
    <w:name w:val="Body Text Indent 3"/>
    <w:basedOn w:val="1"/>
    <w:link w:val="94"/>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5"/>
    <w:qFormat/>
    <w:uiPriority w:val="0"/>
    <w:pPr>
      <w:widowControl w:val="0"/>
      <w:spacing w:after="120" w:line="480" w:lineRule="auto"/>
    </w:pPr>
    <w:rPr>
      <w:rFonts w:hint="default" w:ascii="Times New Roman" w:hAnsi="Times New Roman" w:eastAsia="宋体" w:cs="Times New Roman"/>
      <w:color w:val="auto"/>
      <w:szCs w:val="24"/>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basedOn w:val="1"/>
    <w:link w:val="96"/>
    <w:qFormat/>
    <w:uiPriority w:val="0"/>
    <w:pPr>
      <w:spacing w:before="240" w:after="60"/>
      <w:jc w:val="center"/>
    </w:pPr>
    <w:rPr>
      <w:rFonts w:ascii="Arial" w:hAnsi="Arial" w:eastAsia="Arial" w:cs="Times New Roman"/>
      <w:b/>
      <w:bCs/>
      <w:sz w:val="32"/>
      <w:szCs w:val="32"/>
      <w:lang w:val="en-US" w:eastAsia="zh-CN"/>
    </w:rPr>
  </w:style>
  <w:style w:type="paragraph" w:styleId="50">
    <w:name w:val="annotation subject"/>
    <w:basedOn w:val="19"/>
    <w:next w:val="19"/>
    <w:link w:val="97"/>
    <w:qFormat/>
    <w:uiPriority w:val="0"/>
    <w:pPr>
      <w:widowControl w:val="0"/>
    </w:pPr>
    <w:rPr>
      <w:rFonts w:ascii="Times New Roman" w:hAnsi="Times New Roman" w:eastAsia="宋体"/>
      <w:b/>
      <w:bCs/>
      <w:color w:val="auto"/>
      <w:kern w:val="2"/>
      <w:sz w:val="21"/>
      <w:szCs w:val="24"/>
    </w:rPr>
  </w:style>
  <w:style w:type="paragraph" w:styleId="51">
    <w:name w:val="Body Text First Indent"/>
    <w:basedOn w:val="4"/>
    <w:next w:val="52"/>
    <w:link w:val="98"/>
    <w:qFormat/>
    <w:uiPriority w:val="0"/>
    <w:pPr>
      <w:spacing w:before="0" w:after="120" w:line="240" w:lineRule="auto"/>
      <w:ind w:firstLine="420"/>
    </w:pPr>
    <w:rPr>
      <w:rFonts w:ascii="Times New Roman" w:hAnsi="Times New Roman" w:eastAsia="楷体_GB2312"/>
      <w:sz w:val="32"/>
    </w:rPr>
  </w:style>
  <w:style w:type="paragraph" w:styleId="52">
    <w:name w:val="Body Text First Indent 2"/>
    <w:basedOn w:val="21"/>
    <w:next w:val="1"/>
    <w:link w:val="99"/>
    <w:unhideWhenUsed/>
    <w:qFormat/>
    <w:uiPriority w:val="99"/>
    <w:pPr>
      <w:spacing w:after="120" w:line="240" w:lineRule="auto"/>
      <w:ind w:left="420" w:leftChars="200" w:firstLine="420" w:firstLineChars="200"/>
    </w:pPr>
    <w:rPr>
      <w:rFonts w:ascii="Cambria" w:hAnsi="Cambria"/>
      <w:sz w:val="21"/>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99"/>
  </w:style>
  <w:style w:type="character" w:styleId="58">
    <w:name w:val="FollowedHyperlink"/>
    <w:qFormat/>
    <w:uiPriority w:val="0"/>
    <w:rPr>
      <w:color w:val="333333"/>
      <w:sz w:val="18"/>
      <w:szCs w:val="18"/>
      <w:u w:val="none"/>
    </w:rPr>
  </w:style>
  <w:style w:type="character" w:styleId="59">
    <w:name w:val="Emphasis"/>
    <w:qFormat/>
    <w:uiPriority w:val="20"/>
    <w:rPr>
      <w:b/>
      <w:bCs/>
    </w:rPr>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5"/>
    <w:unhideWhenUsed/>
    <w:qFormat/>
    <w:uiPriority w:val="99"/>
  </w:style>
  <w:style w:type="character" w:styleId="63">
    <w:name w:val="HTML Variable"/>
    <w:unhideWhenUsed/>
    <w:qFormat/>
    <w:uiPriority w:val="99"/>
  </w:style>
  <w:style w:type="character" w:styleId="64">
    <w:name w:val="Hyperlink"/>
    <w:qFormat/>
    <w:uiPriority w:val="99"/>
    <w:rPr>
      <w:u w:val="singl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rPr>
      <w:bdr w:val="single" w:color="D6D6D6" w:sz="6" w:space="0"/>
      <w:shd w:val="clear" w:color="auto" w:fill="FFFFFF"/>
    </w:rPr>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ascii="monospace" w:hAnsi="monospace" w:eastAsia="monospace" w:cs="monospace"/>
    </w:rPr>
  </w:style>
  <w:style w:type="paragraph" w:customStyle="1" w:styleId="7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72">
    <w:name w:val="首行缩进"/>
    <w:basedOn w:val="1"/>
    <w:qFormat/>
    <w:uiPriority w:val="0"/>
    <w:pPr>
      <w:spacing w:line="360" w:lineRule="auto"/>
      <w:ind w:firstLine="480" w:firstLineChars="200"/>
      <w:jc w:val="left"/>
    </w:pPr>
    <w:rPr>
      <w:rFonts w:ascii="宋体" w:hAnsi="宋体"/>
      <w:sz w:val="24"/>
    </w:rPr>
  </w:style>
  <w:style w:type="character" w:customStyle="1" w:styleId="73">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4">
    <w:name w:val="标题 2 字符"/>
    <w:link w:val="7"/>
    <w:qFormat/>
    <w:uiPriority w:val="0"/>
    <w:rPr>
      <w:rFonts w:ascii="Cambria" w:hAnsi="Cambria" w:eastAsia="宋体" w:cs="Times New Roman"/>
      <w:b/>
      <w:bCs/>
      <w:color w:val="000000"/>
      <w:sz w:val="32"/>
      <w:szCs w:val="32"/>
      <w:lang w:val="zh-TW" w:eastAsia="zh-TW"/>
    </w:rPr>
  </w:style>
  <w:style w:type="character" w:customStyle="1" w:styleId="75">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6">
    <w:name w:val="标题 4 字符"/>
    <w:link w:val="9"/>
    <w:qFormat/>
    <w:uiPriority w:val="0"/>
    <w:rPr>
      <w:rFonts w:ascii="Arial" w:hAnsi="Arial" w:eastAsia="黑体"/>
      <w:b/>
      <w:kern w:val="2"/>
      <w:sz w:val="28"/>
      <w:szCs w:val="24"/>
    </w:rPr>
  </w:style>
  <w:style w:type="character" w:customStyle="1" w:styleId="77">
    <w:name w:val="标题 5 字符"/>
    <w:link w:val="10"/>
    <w:qFormat/>
    <w:uiPriority w:val="0"/>
    <w:rPr>
      <w:rFonts w:ascii="仿宋_GB2312" w:hAnsi="Times New Roman" w:eastAsia="仿宋_GB2312"/>
      <w:b/>
      <w:kern w:val="2"/>
      <w:sz w:val="28"/>
      <w:szCs w:val="32"/>
    </w:rPr>
  </w:style>
  <w:style w:type="character" w:customStyle="1" w:styleId="78">
    <w:name w:val="标题 6 字符"/>
    <w:link w:val="11"/>
    <w:qFormat/>
    <w:uiPriority w:val="0"/>
    <w:rPr>
      <w:rFonts w:ascii="Arial" w:hAnsi="Arial" w:eastAsia="黑体"/>
      <w:b/>
      <w:kern w:val="2"/>
      <w:sz w:val="24"/>
      <w:szCs w:val="32"/>
    </w:rPr>
  </w:style>
  <w:style w:type="character" w:customStyle="1" w:styleId="79">
    <w:name w:val="标题 7 字符"/>
    <w:link w:val="12"/>
    <w:qFormat/>
    <w:uiPriority w:val="0"/>
    <w:rPr>
      <w:rFonts w:ascii="仿宋_GB2312" w:hAnsi="Times New Roman" w:eastAsia="仿宋_GB2312"/>
      <w:b/>
      <w:kern w:val="2"/>
      <w:sz w:val="24"/>
      <w:szCs w:val="32"/>
    </w:rPr>
  </w:style>
  <w:style w:type="character" w:customStyle="1" w:styleId="80">
    <w:name w:val="标题 8 字符"/>
    <w:link w:val="13"/>
    <w:qFormat/>
    <w:uiPriority w:val="0"/>
    <w:rPr>
      <w:rFonts w:ascii="Arial" w:hAnsi="Arial" w:eastAsia="黑体"/>
      <w:kern w:val="2"/>
      <w:sz w:val="24"/>
      <w:szCs w:val="32"/>
    </w:rPr>
  </w:style>
  <w:style w:type="character" w:customStyle="1" w:styleId="81">
    <w:name w:val="标题 9 字符"/>
    <w:link w:val="14"/>
    <w:qFormat/>
    <w:uiPriority w:val="0"/>
    <w:rPr>
      <w:rFonts w:ascii="Arial" w:hAnsi="Arial" w:eastAsia="黑体"/>
      <w:kern w:val="2"/>
      <w:sz w:val="21"/>
      <w:szCs w:val="32"/>
    </w:rPr>
  </w:style>
  <w:style w:type="character" w:customStyle="1" w:styleId="82">
    <w:name w:val="正文缩进 字符"/>
    <w:link w:val="17"/>
    <w:qFormat/>
    <w:uiPriority w:val="0"/>
    <w:rPr>
      <w:rFonts w:ascii="宋体"/>
      <w:sz w:val="24"/>
    </w:rPr>
  </w:style>
  <w:style w:type="character" w:customStyle="1" w:styleId="83">
    <w:name w:val="批注文字 字符"/>
    <w:link w:val="19"/>
    <w:qFormat/>
    <w:uiPriority w:val="0"/>
    <w:rPr>
      <w:rFonts w:ascii="Arial Unicode MS" w:hAnsi="Arial Unicode MS" w:eastAsia="Arial Unicode MS" w:cs="Arial Unicode MS"/>
      <w:color w:val="000000"/>
      <w:szCs w:val="21"/>
      <w:lang w:val="zh-TW" w:eastAsia="zh-TW"/>
    </w:rPr>
  </w:style>
  <w:style w:type="character" w:customStyle="1" w:styleId="84">
    <w:name w:val="正文文本 3 字符"/>
    <w:link w:val="20"/>
    <w:qFormat/>
    <w:uiPriority w:val="0"/>
    <w:rPr>
      <w:kern w:val="2"/>
      <w:sz w:val="16"/>
      <w:szCs w:val="16"/>
    </w:rPr>
  </w:style>
  <w:style w:type="character" w:customStyle="1" w:styleId="85">
    <w:name w:val="正文文本 字符1"/>
    <w:link w:val="4"/>
    <w:qFormat/>
    <w:uiPriority w:val="0"/>
    <w:rPr>
      <w:rFonts w:ascii="宋体" w:hAnsi="宋体"/>
      <w:kern w:val="2"/>
      <w:sz w:val="24"/>
      <w:szCs w:val="24"/>
    </w:rPr>
  </w:style>
  <w:style w:type="character" w:customStyle="1" w:styleId="86">
    <w:name w:val="正文文本缩进 字符"/>
    <w:link w:val="21"/>
    <w:qFormat/>
    <w:uiPriority w:val="99"/>
    <w:rPr>
      <w:kern w:val="2"/>
      <w:sz w:val="24"/>
      <w:szCs w:val="24"/>
    </w:rPr>
  </w:style>
  <w:style w:type="character" w:customStyle="1" w:styleId="87">
    <w:name w:val="纯文本 字符"/>
    <w:link w:val="3"/>
    <w:qFormat/>
    <w:uiPriority w:val="0"/>
    <w:rPr>
      <w:rFonts w:ascii="宋体" w:hAnsi="Courier New"/>
    </w:rPr>
  </w:style>
  <w:style w:type="character" w:customStyle="1" w:styleId="88">
    <w:name w:val="日期 字符"/>
    <w:link w:val="28"/>
    <w:qFormat/>
    <w:uiPriority w:val="99"/>
    <w:rPr>
      <w:rFonts w:ascii="仿宋_GB2312" w:hAnsi="宋体" w:eastAsia="仿宋_GB2312"/>
      <w:color w:val="000000"/>
      <w:kern w:val="2"/>
      <w:sz w:val="24"/>
      <w:szCs w:val="24"/>
    </w:rPr>
  </w:style>
  <w:style w:type="character" w:customStyle="1" w:styleId="89">
    <w:name w:val="正文文本缩进 2 字符"/>
    <w:link w:val="29"/>
    <w:qFormat/>
    <w:uiPriority w:val="99"/>
    <w:rPr>
      <w:rFonts w:ascii="仿宋_GB2312" w:eastAsia="仿宋_GB2312"/>
      <w:kern w:val="2"/>
      <w:sz w:val="24"/>
      <w:szCs w:val="24"/>
    </w:rPr>
  </w:style>
  <w:style w:type="character" w:customStyle="1" w:styleId="90">
    <w:name w:val="批注框文本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1">
    <w:name w:val="页脚 字符"/>
    <w:link w:val="31"/>
    <w:qFormat/>
    <w:uiPriority w:val="99"/>
    <w:rPr>
      <w:rFonts w:ascii="宋体" w:hAnsi="宋体" w:eastAsia="宋体" w:cs="宋体"/>
      <w:color w:val="000000"/>
      <w:kern w:val="0"/>
      <w:sz w:val="18"/>
      <w:szCs w:val="18"/>
    </w:rPr>
  </w:style>
  <w:style w:type="character" w:customStyle="1" w:styleId="92">
    <w:name w:val="页眉 字符"/>
    <w:link w:val="32"/>
    <w:qFormat/>
    <w:uiPriority w:val="99"/>
    <w:rPr>
      <w:rFonts w:ascii="Arial Unicode MS" w:hAnsi="Arial Unicode MS" w:eastAsia="Arial Unicode MS" w:cs="Arial Unicode MS"/>
      <w:color w:val="000000"/>
      <w:sz w:val="18"/>
      <w:szCs w:val="18"/>
      <w:lang w:val="zh-TW" w:eastAsia="zh-TW"/>
    </w:rPr>
  </w:style>
  <w:style w:type="character" w:customStyle="1" w:styleId="93">
    <w:name w:val="脚注文本 字符"/>
    <w:link w:val="37"/>
    <w:qFormat/>
    <w:uiPriority w:val="0"/>
    <w:rPr>
      <w:kern w:val="2"/>
      <w:sz w:val="18"/>
      <w:szCs w:val="22"/>
    </w:rPr>
  </w:style>
  <w:style w:type="character" w:customStyle="1" w:styleId="94">
    <w:name w:val="正文文本缩进 3 字符"/>
    <w:link w:val="40"/>
    <w:qFormat/>
    <w:uiPriority w:val="0"/>
    <w:rPr>
      <w:rFonts w:ascii="宋体"/>
      <w:sz w:val="24"/>
    </w:rPr>
  </w:style>
  <w:style w:type="character" w:customStyle="1" w:styleId="95">
    <w:name w:val="正文文本 2 字符"/>
    <w:link w:val="43"/>
    <w:qFormat/>
    <w:uiPriority w:val="0"/>
    <w:rPr>
      <w:kern w:val="2"/>
      <w:sz w:val="21"/>
      <w:szCs w:val="24"/>
    </w:rPr>
  </w:style>
  <w:style w:type="character" w:customStyle="1" w:styleId="96">
    <w:name w:val="标题 字符"/>
    <w:link w:val="49"/>
    <w:qFormat/>
    <w:uiPriority w:val="0"/>
    <w:rPr>
      <w:rFonts w:ascii="Arial" w:hAnsi="Arial" w:eastAsia="Arial"/>
      <w:b/>
      <w:bCs/>
      <w:color w:val="000000"/>
      <w:sz w:val="32"/>
      <w:szCs w:val="32"/>
      <w:lang w:bidi="ar-SA"/>
    </w:rPr>
  </w:style>
  <w:style w:type="character" w:customStyle="1" w:styleId="97">
    <w:name w:val="批注主题 字符"/>
    <w:link w:val="50"/>
    <w:qFormat/>
    <w:uiPriority w:val="0"/>
    <w:rPr>
      <w:b/>
      <w:bCs/>
      <w:kern w:val="2"/>
      <w:sz w:val="21"/>
      <w:szCs w:val="24"/>
    </w:rPr>
  </w:style>
  <w:style w:type="character" w:customStyle="1" w:styleId="98">
    <w:name w:val="正文文本首行缩进 字符"/>
    <w:link w:val="51"/>
    <w:qFormat/>
    <w:uiPriority w:val="0"/>
    <w:rPr>
      <w:rFonts w:eastAsia="楷体_GB2312"/>
      <w:kern w:val="2"/>
      <w:sz w:val="32"/>
      <w:szCs w:val="24"/>
    </w:rPr>
  </w:style>
  <w:style w:type="character" w:customStyle="1" w:styleId="99">
    <w:name w:val="正文文本首行缩进 2 字符"/>
    <w:link w:val="52"/>
    <w:qFormat/>
    <w:uiPriority w:val="99"/>
    <w:rPr>
      <w:rFonts w:ascii="Cambria" w:hAnsi="Cambria"/>
      <w:kern w:val="2"/>
      <w:sz w:val="21"/>
      <w:szCs w:val="24"/>
    </w:rPr>
  </w:style>
  <w:style w:type="paragraph" w:customStyle="1" w:styleId="100">
    <w:name w:val="Char Char10 Char Char Char Char"/>
    <w:basedOn w:val="1"/>
    <w:next w:val="101"/>
    <w:qFormat/>
    <w:uiPriority w:val="0"/>
    <w:rPr>
      <w:rFonts w:ascii="Calibri" w:hAnsi="Calibri"/>
      <w:kern w:val="0"/>
    </w:rPr>
  </w:style>
  <w:style w:type="paragraph" w:customStyle="1" w:styleId="101">
    <w:name w:val="xl87"/>
    <w:basedOn w:val="1"/>
    <w:next w:val="10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
    <w:name w:val="xl72"/>
    <w:basedOn w:val="1"/>
    <w:next w:val="28"/>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3">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4">
    <w:name w:val="正文文本缩进 2 Char1"/>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正文缩进 Char1"/>
    <w:link w:val="109"/>
    <w:qFormat/>
    <w:uiPriority w:val="0"/>
    <w:rPr>
      <w:rFonts w:ascii="宋体"/>
      <w:sz w:val="24"/>
    </w:rPr>
  </w:style>
  <w:style w:type="paragraph" w:customStyle="1" w:styleId="109">
    <w:name w:val="正文缩进1"/>
    <w:basedOn w:val="1"/>
    <w:link w:val="108"/>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10">
    <w:name w:val="正文首行缩进 2 Char1"/>
    <w:semiHidden/>
    <w:qFormat/>
    <w:uiPriority w:val="99"/>
    <w:rPr>
      <w:lang w:val="zh-TW" w:eastAsia="zh-TW"/>
    </w:rPr>
  </w:style>
  <w:style w:type="character" w:customStyle="1" w:styleId="111">
    <w:name w:val="*正文 Char"/>
    <w:link w:val="112"/>
    <w:qFormat/>
    <w:uiPriority w:val="0"/>
    <w:rPr>
      <w:rFonts w:ascii="宋体" w:hAnsi="宋体"/>
      <w:sz w:val="22"/>
      <w:szCs w:val="24"/>
    </w:rPr>
  </w:style>
  <w:style w:type="paragraph" w:customStyle="1" w:styleId="112">
    <w:name w:val="*正文"/>
    <w:basedOn w:val="1"/>
    <w:link w:val="111"/>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3">
    <w:name w:val="日期 Char1"/>
    <w:semiHidden/>
    <w:qFormat/>
    <w:uiPriority w:val="99"/>
    <w:rPr>
      <w:rFonts w:ascii="Times New Roman" w:hAnsi="Times New Roman" w:eastAsia="宋体" w:cs="Times New Roman"/>
      <w:szCs w:val="24"/>
    </w:rPr>
  </w:style>
  <w:style w:type="character" w:customStyle="1" w:styleId="114">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批注文字 Char2"/>
    <w:semiHidden/>
    <w:qFormat/>
    <w:uiPriority w:val="99"/>
    <w:rPr>
      <w:kern w:val="2"/>
      <w:sz w:val="21"/>
      <w:szCs w:val="24"/>
    </w:rPr>
  </w:style>
  <w:style w:type="character" w:customStyle="1" w:styleId="116">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7">
    <w:name w:val="页眉 Char2"/>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NormalCharacter"/>
    <w:qFormat/>
    <w:uiPriority w:val="0"/>
    <w:rPr>
      <w:kern w:val="2"/>
      <w:sz w:val="21"/>
      <w:szCs w:val="24"/>
      <w:lang w:val="en-US" w:eastAsia="zh-CN" w:bidi="ar-SA"/>
    </w:rPr>
  </w:style>
  <w:style w:type="character" w:customStyle="1" w:styleId="120">
    <w:name w:val="未处理的提及1"/>
    <w:unhideWhenUsed/>
    <w:qFormat/>
    <w:uiPriority w:val="99"/>
    <w:rPr>
      <w:color w:val="605E5C"/>
      <w:shd w:val="clear" w:color="auto" w:fill="E1DFDD"/>
    </w:rPr>
  </w:style>
  <w:style w:type="character" w:customStyle="1" w:styleId="121">
    <w:name w:val="apple-converted-space"/>
    <w:qFormat/>
    <w:uiPriority w:val="0"/>
  </w:style>
  <w:style w:type="character" w:customStyle="1" w:styleId="122">
    <w:name w:val="标题 Char2"/>
    <w:qFormat/>
    <w:uiPriority w:val="10"/>
    <w:rPr>
      <w:rFonts w:ascii="Cambria" w:hAnsi="Cambria" w:cs="Times New Roman"/>
      <w:b/>
      <w:bCs/>
      <w:kern w:val="2"/>
      <w:sz w:val="32"/>
      <w:szCs w:val="32"/>
    </w:rPr>
  </w:style>
  <w:style w:type="character" w:customStyle="1" w:styleId="123">
    <w:name w:val="批注框文本 Char1"/>
    <w:semiHidden/>
    <w:qFormat/>
    <w:uiPriority w:val="99"/>
    <w:rPr>
      <w:kern w:val="2"/>
      <w:sz w:val="18"/>
      <w:szCs w:val="18"/>
    </w:rPr>
  </w:style>
  <w:style w:type="character" w:customStyle="1" w:styleId="12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5">
    <w:name w:val="标题 Char1"/>
    <w:qFormat/>
    <w:uiPriority w:val="10"/>
    <w:rPr>
      <w:rFonts w:ascii="Cambria" w:hAnsi="Cambria" w:eastAsia="宋体" w:cs="Times New Roman"/>
      <w:b/>
      <w:bCs/>
      <w:sz w:val="32"/>
      <w:szCs w:val="32"/>
    </w:rPr>
  </w:style>
  <w:style w:type="character" w:customStyle="1" w:styleId="126">
    <w:name w:val="批注框文本 Char2"/>
    <w:semiHidden/>
    <w:qFormat/>
    <w:uiPriority w:val="99"/>
    <w:rPr>
      <w:kern w:val="2"/>
      <w:sz w:val="18"/>
      <w:szCs w:val="18"/>
    </w:rPr>
  </w:style>
  <w:style w:type="character" w:customStyle="1" w:styleId="127">
    <w:name w:val="纯文本 Char"/>
    <w:qFormat/>
    <w:uiPriority w:val="0"/>
    <w:rPr>
      <w:rFonts w:ascii="宋体" w:hAnsi="Courier New" w:cs="Courier New"/>
      <w:color w:val="000000"/>
      <w:kern w:val="2"/>
      <w:sz w:val="21"/>
      <w:szCs w:val="21"/>
      <w:lang w:val="zh-TW" w:eastAsia="zh-TW"/>
    </w:rPr>
  </w:style>
  <w:style w:type="character" w:customStyle="1" w:styleId="128">
    <w:name w:val="正文文本缩进 Char1"/>
    <w:semiHidden/>
    <w:qFormat/>
    <w:uiPriority w:val="99"/>
    <w:rPr>
      <w:rFonts w:ascii="Times New Roman" w:hAnsi="Times New Roman" w:eastAsia="宋体" w:cs="Times New Roman"/>
      <w:szCs w:val="24"/>
    </w:rPr>
  </w:style>
  <w:style w:type="character" w:customStyle="1" w:styleId="129">
    <w:name w:val="dash6b63_6587__char1"/>
    <w:qFormat/>
    <w:uiPriority w:val="0"/>
    <w:rPr>
      <w:rFonts w:hint="default" w:ascii="Calibri" w:hAnsi="Calibri" w:cs="Calibri"/>
      <w:sz w:val="20"/>
      <w:szCs w:val="20"/>
    </w:rPr>
  </w:style>
  <w:style w:type="character" w:customStyle="1" w:styleId="130">
    <w:name w:val="pt91"/>
    <w:qFormat/>
    <w:uiPriority w:val="0"/>
    <w:rPr>
      <w:rFonts w:hint="default"/>
      <w:color w:val="333333"/>
      <w:sz w:val="18"/>
      <w:szCs w:val="18"/>
    </w:rPr>
  </w:style>
  <w:style w:type="character" w:customStyle="1" w:styleId="131">
    <w:name w:val="p141"/>
    <w:qFormat/>
    <w:uiPriority w:val="99"/>
    <w:rPr>
      <w:sz w:val="21"/>
      <w:szCs w:val="21"/>
    </w:rPr>
  </w:style>
  <w:style w:type="character" w:customStyle="1" w:styleId="13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3">
    <w:name w:val="fontstyle01"/>
    <w:qFormat/>
    <w:uiPriority w:val="0"/>
    <w:rPr>
      <w:rFonts w:hint="default" w:ascii="Times New Roman" w:hAnsi="Times New Roman" w:cs="Times New Roman"/>
      <w:color w:val="000000"/>
      <w:sz w:val="24"/>
      <w:szCs w:val="24"/>
    </w:rPr>
  </w:style>
  <w:style w:type="character" w:customStyle="1" w:styleId="134">
    <w:name w:val="fontstyle11"/>
    <w:qFormat/>
    <w:uiPriority w:val="0"/>
    <w:rPr>
      <w:rFonts w:hint="default" w:ascii="Times New Roman" w:hAnsi="Times New Roman" w:cs="Times New Roman"/>
      <w:color w:val="000000"/>
      <w:sz w:val="18"/>
      <w:szCs w:val="18"/>
    </w:rPr>
  </w:style>
  <w:style w:type="character" w:customStyle="1" w:styleId="135">
    <w:name w:val="批注文字 Char1"/>
    <w:semiHidden/>
    <w:qFormat/>
    <w:uiPriority w:val="99"/>
    <w:rPr>
      <w:kern w:val="2"/>
      <w:sz w:val="21"/>
      <w:szCs w:val="24"/>
    </w:rPr>
  </w:style>
  <w:style w:type="character" w:customStyle="1" w:styleId="136">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7">
    <w:name w:val="fontstyle21"/>
    <w:qFormat/>
    <w:uiPriority w:val="0"/>
    <w:rPr>
      <w:rFonts w:hint="eastAsia" w:ascii="宋体" w:hAnsi="宋体" w:eastAsia="宋体"/>
      <w:color w:val="000000"/>
      <w:sz w:val="24"/>
      <w:szCs w:val="24"/>
    </w:rPr>
  </w:style>
  <w:style w:type="character" w:customStyle="1" w:styleId="138">
    <w:name w:val="页脚 Char1"/>
    <w:semiHidden/>
    <w:qFormat/>
    <w:uiPriority w:val="99"/>
    <w:rPr>
      <w:kern w:val="2"/>
      <w:sz w:val="18"/>
      <w:szCs w:val="18"/>
    </w:rPr>
  </w:style>
  <w:style w:type="character" w:customStyle="1" w:styleId="139">
    <w:name w:val="wen11"/>
    <w:qFormat/>
    <w:uiPriority w:val="0"/>
    <w:rPr>
      <w:color w:val="000000"/>
      <w:sz w:val="21"/>
      <w:szCs w:val="21"/>
    </w:rPr>
  </w:style>
  <w:style w:type="character" w:customStyle="1" w:styleId="140">
    <w:name w:val="正文首行缩进 Char1"/>
    <w:semiHidden/>
    <w:qFormat/>
    <w:uiPriority w:val="99"/>
    <w:rPr>
      <w:lang w:val="zh-TW" w:eastAsia="zh-TW"/>
    </w:rPr>
  </w:style>
  <w:style w:type="character" w:customStyle="1" w:styleId="141">
    <w:name w:val="脚注文本 Char1"/>
    <w:semiHidden/>
    <w:qFormat/>
    <w:uiPriority w:val="99"/>
    <w:rPr>
      <w:rFonts w:ascii="Times New Roman" w:hAnsi="Times New Roman" w:eastAsia="宋体" w:cs="Times New Roman"/>
      <w:sz w:val="18"/>
      <w:szCs w:val="18"/>
    </w:rPr>
  </w:style>
  <w:style w:type="character" w:customStyle="1" w:styleId="142">
    <w:name w:val="unnamed11"/>
    <w:qFormat/>
    <w:uiPriority w:val="0"/>
    <w:rPr>
      <w:rFonts w:hint="default" w:ascii="Arial" w:hAnsi="Arial" w:cs="Arial"/>
      <w:color w:val="000000"/>
      <w:sz w:val="18"/>
      <w:szCs w:val="18"/>
      <w:u w:val="none"/>
    </w:rPr>
  </w:style>
  <w:style w:type="character" w:customStyle="1" w:styleId="143">
    <w:name w:val="正文文本 字符"/>
    <w:qFormat/>
    <w:uiPriority w:val="0"/>
    <w:rPr>
      <w:rFonts w:ascii="宋体" w:hAnsi="宋体"/>
      <w:kern w:val="2"/>
      <w:sz w:val="24"/>
      <w:szCs w:val="24"/>
    </w:rPr>
  </w:style>
  <w:style w:type="character" w:customStyle="1" w:styleId="144">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5">
    <w:name w:val="纯文本 Char2"/>
    <w:semiHidden/>
    <w:qFormat/>
    <w:uiPriority w:val="99"/>
    <w:rPr>
      <w:rFonts w:ascii="宋体" w:hAnsi="Courier New" w:eastAsia="宋体" w:cs="Courier New"/>
      <w:szCs w:val="21"/>
    </w:rPr>
  </w:style>
  <w:style w:type="character" w:customStyle="1" w:styleId="146">
    <w:name w:val="正文文本 Char1"/>
    <w:semiHidden/>
    <w:qFormat/>
    <w:uiPriority w:val="99"/>
    <w:rPr>
      <w:rFonts w:ascii="Times New Roman" w:hAnsi="Times New Roman" w:eastAsia="宋体" w:cs="Times New Roman"/>
      <w:szCs w:val="24"/>
    </w:rPr>
  </w:style>
  <w:style w:type="character" w:customStyle="1" w:styleId="147">
    <w:name w:val="页眉 Char1"/>
    <w:semiHidden/>
    <w:qFormat/>
    <w:uiPriority w:val="99"/>
    <w:rPr>
      <w:kern w:val="2"/>
      <w:sz w:val="18"/>
      <w:szCs w:val="18"/>
    </w:rPr>
  </w:style>
  <w:style w:type="character" w:customStyle="1" w:styleId="148">
    <w:name w:val="Char Char2"/>
    <w:qFormat/>
    <w:uiPriority w:val="0"/>
    <w:rPr>
      <w:rFonts w:ascii="宋体" w:hAnsi="Courier New" w:eastAsia="宋体" w:cs="Courier New"/>
      <w:kern w:val="2"/>
      <w:sz w:val="21"/>
      <w:szCs w:val="21"/>
      <w:lang w:val="en-US" w:eastAsia="zh-CN" w:bidi="ar-SA"/>
    </w:rPr>
  </w:style>
  <w:style w:type="character" w:customStyle="1" w:styleId="149">
    <w:name w:val="批注主题 Char1"/>
    <w:semiHidden/>
    <w:qFormat/>
    <w:uiPriority w:val="99"/>
    <w:rPr>
      <w:b/>
      <w:bCs/>
      <w:kern w:val="2"/>
      <w:sz w:val="21"/>
      <w:szCs w:val="24"/>
    </w:rPr>
  </w:style>
  <w:style w:type="character" w:customStyle="1" w:styleId="150">
    <w:name w:val="p12h15"/>
    <w:qFormat/>
    <w:uiPriority w:val="0"/>
  </w:style>
  <w:style w:type="character" w:customStyle="1" w:styleId="151">
    <w:name w:val="纯文本 Char3"/>
    <w:semiHidden/>
    <w:qFormat/>
    <w:uiPriority w:val="99"/>
    <w:rPr>
      <w:rFonts w:ascii="宋体" w:hAnsi="Courier New" w:cs="Courier New"/>
      <w:kern w:val="2"/>
      <w:sz w:val="21"/>
      <w:szCs w:val="21"/>
    </w:rPr>
  </w:style>
  <w:style w:type="paragraph" w:customStyle="1" w:styleId="152">
    <w:name w:val="Body text|1"/>
    <w:basedOn w:val="1"/>
    <w:link w:val="277"/>
    <w:qFormat/>
    <w:uiPriority w:val="0"/>
    <w:pPr>
      <w:spacing w:line="394" w:lineRule="auto"/>
      <w:ind w:firstLine="400"/>
      <w:jc w:val="left"/>
    </w:pPr>
    <w:rPr>
      <w:rFonts w:ascii="宋体" w:hAnsi="宋体" w:cs="宋体"/>
      <w:kern w:val="0"/>
      <w:sz w:val="30"/>
      <w:szCs w:val="30"/>
    </w:rPr>
  </w:style>
  <w:style w:type="paragraph" w:customStyle="1" w:styleId="153">
    <w:name w:val="无间隔1"/>
    <w:basedOn w:val="1"/>
    <w:qFormat/>
    <w:uiPriority w:val="1"/>
    <w:pPr>
      <w:spacing w:line="400" w:lineRule="exact"/>
    </w:pPr>
    <w:rPr>
      <w:sz w:val="24"/>
    </w:rPr>
  </w:style>
  <w:style w:type="paragraph" w:customStyle="1" w:styleId="154">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9">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3">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4">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5">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6">
    <w:name w:val="小标题 3"/>
    <w:next w:val="167"/>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7">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8">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6">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8">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9">
    <w:name w:val="_Style 160"/>
    <w:basedOn w:val="6"/>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1">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3">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4">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6">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7">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9">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1">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3">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7">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9">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0">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5">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6">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9">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1">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3">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4">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7"/>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basedOn w:val="55"/>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unhideWhenUsed/>
    <w:qFormat/>
    <w:uiPriority w:val="99"/>
    <w:rPr>
      <w:color w:val="605E5C"/>
      <w:shd w:val="clear" w:color="auto" w:fill="E1DFDD"/>
    </w:rPr>
  </w:style>
  <w:style w:type="character" w:customStyle="1" w:styleId="263">
    <w:name w:val="未处理的提及3"/>
    <w:unhideWhenUsed/>
    <w:qFormat/>
    <w:uiPriority w:val="99"/>
    <w:rPr>
      <w:color w:val="605E5C"/>
      <w:shd w:val="clear" w:color="auto" w:fill="E1DFDD"/>
    </w:rPr>
  </w:style>
  <w:style w:type="paragraph" w:customStyle="1" w:styleId="264">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65">
    <w:name w:val="固定值22111111111111111111"/>
    <w:basedOn w:val="1"/>
    <w:qFormat/>
    <w:uiPriority w:val="0"/>
    <w:pPr>
      <w:adjustRightInd w:val="0"/>
      <w:spacing w:line="440" w:lineRule="exact"/>
      <w:ind w:firstLine="880" w:firstLineChars="200"/>
    </w:pPr>
    <w:rPr>
      <w:rFonts w:ascii="宋体" w:hAnsi="宋体" w:eastAsia="宋体" w:cs="宋体"/>
    </w:rPr>
  </w:style>
  <w:style w:type="character" w:customStyle="1" w:styleId="266">
    <w:name w:val="font01"/>
    <w:qFormat/>
    <w:uiPriority w:val="0"/>
    <w:rPr>
      <w:rFonts w:hint="eastAsia" w:ascii="宋体" w:hAnsi="宋体" w:eastAsia="宋体" w:cs="宋体"/>
      <w:color w:val="000000"/>
      <w:sz w:val="22"/>
      <w:szCs w:val="22"/>
      <w:u w:val="none"/>
    </w:rPr>
  </w:style>
  <w:style w:type="character" w:customStyle="1" w:styleId="267">
    <w:name w:val="font21"/>
    <w:basedOn w:val="55"/>
    <w:qFormat/>
    <w:uiPriority w:val="0"/>
    <w:rPr>
      <w:rFonts w:hint="eastAsia" w:ascii="宋体" w:hAnsi="宋体" w:eastAsia="宋体" w:cs="宋体"/>
      <w:color w:val="000000"/>
      <w:sz w:val="22"/>
      <w:szCs w:val="22"/>
      <w:u w:val="none"/>
    </w:rPr>
  </w:style>
  <w:style w:type="paragraph" w:customStyle="1" w:styleId="2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9">
    <w:name w:val="Table Text"/>
    <w:basedOn w:val="1"/>
    <w:semiHidden/>
    <w:qFormat/>
    <w:uiPriority w:val="0"/>
    <w:rPr>
      <w:rFonts w:ascii="仿宋" w:hAnsi="仿宋" w:eastAsia="仿宋" w:cs="仿宋"/>
      <w:sz w:val="28"/>
      <w:szCs w:val="28"/>
      <w:lang w:val="en-US" w:eastAsia="en-US"/>
    </w:rPr>
  </w:style>
  <w:style w:type="character" w:customStyle="1" w:styleId="270">
    <w:name w:val="hover"/>
    <w:qFormat/>
    <w:uiPriority w:val="0"/>
    <w:rPr>
      <w:color w:val="2590EB"/>
    </w:rPr>
  </w:style>
  <w:style w:type="character" w:customStyle="1" w:styleId="271">
    <w:name w:val="hover1"/>
    <w:qFormat/>
    <w:uiPriority w:val="0"/>
    <w:rPr>
      <w:color w:val="2590EB"/>
    </w:rPr>
  </w:style>
  <w:style w:type="character" w:customStyle="1" w:styleId="272">
    <w:name w:val="hover2"/>
    <w:qFormat/>
    <w:uiPriority w:val="0"/>
  </w:style>
  <w:style w:type="character" w:customStyle="1" w:styleId="273">
    <w:name w:val="hover3"/>
    <w:qFormat/>
    <w:uiPriority w:val="0"/>
    <w:rPr>
      <w:color w:val="2590EB"/>
      <w:shd w:val="clear" w:color="auto" w:fill="E9F4FD"/>
    </w:rPr>
  </w:style>
  <w:style w:type="character" w:customStyle="1" w:styleId="274">
    <w:name w:val="hover4"/>
    <w:qFormat/>
    <w:uiPriority w:val="0"/>
    <w:rPr>
      <w:color w:val="2590EB"/>
      <w:shd w:val="clear" w:color="auto" w:fill="E9F4FD"/>
    </w:rPr>
  </w:style>
  <w:style w:type="character" w:customStyle="1" w:styleId="275">
    <w:name w:val="Heading #1|1_"/>
    <w:basedOn w:val="55"/>
    <w:link w:val="276"/>
    <w:qFormat/>
    <w:uiPriority w:val="0"/>
    <w:rPr>
      <w:rFonts w:ascii="宋体" w:hAnsi="宋体" w:cs="宋体"/>
      <w:sz w:val="19"/>
      <w:szCs w:val="19"/>
      <w:lang w:val="zh-TW" w:eastAsia="zh-TW" w:bidi="zh-TW"/>
    </w:rPr>
  </w:style>
  <w:style w:type="paragraph" w:customStyle="1" w:styleId="276">
    <w:name w:val="Heading #1|1"/>
    <w:basedOn w:val="1"/>
    <w:link w:val="275"/>
    <w:qFormat/>
    <w:uiPriority w:val="0"/>
    <w:pPr>
      <w:widowControl w:val="0"/>
      <w:adjustRightInd w:val="0"/>
      <w:snapToGrid w:val="0"/>
      <w:spacing w:after="80" w:line="360" w:lineRule="auto"/>
      <w:ind w:firstLine="380" w:firstLineChars="200"/>
      <w:jc w:val="center"/>
      <w:outlineLvl w:val="0"/>
    </w:pPr>
    <w:rPr>
      <w:rFonts w:hint="default" w:ascii="宋体" w:hAnsi="宋体" w:eastAsia="宋体" w:cs="宋体"/>
      <w:color w:val="auto"/>
      <w:kern w:val="0"/>
      <w:sz w:val="19"/>
      <w:szCs w:val="19"/>
      <w:lang w:bidi="zh-TW"/>
    </w:rPr>
  </w:style>
  <w:style w:type="character" w:customStyle="1" w:styleId="277">
    <w:name w:val="Body text|1_"/>
    <w:basedOn w:val="55"/>
    <w:link w:val="152"/>
    <w:qFormat/>
    <w:uiPriority w:val="0"/>
    <w:rPr>
      <w:rFonts w:ascii="宋体" w:hAnsi="宋体" w:eastAsia="Arial Unicode MS" w:cs="宋体"/>
      <w:color w:val="000000"/>
      <w:sz w:val="30"/>
      <w:szCs w:val="30"/>
      <w:lang w:val="zh-TW" w:eastAsia="zh-TW"/>
    </w:rPr>
  </w:style>
  <w:style w:type="character" w:customStyle="1" w:styleId="278">
    <w:name w:val="Other|1_"/>
    <w:basedOn w:val="55"/>
    <w:link w:val="279"/>
    <w:qFormat/>
    <w:uiPriority w:val="0"/>
    <w:rPr>
      <w:rFonts w:ascii="宋体" w:hAnsi="宋体" w:cs="宋体"/>
      <w:sz w:val="12"/>
      <w:szCs w:val="12"/>
      <w:lang w:val="zh-TW" w:eastAsia="zh-TW" w:bidi="zh-TW"/>
    </w:rPr>
  </w:style>
  <w:style w:type="paragraph" w:customStyle="1" w:styleId="279">
    <w:name w:val="Other|1"/>
    <w:basedOn w:val="1"/>
    <w:link w:val="278"/>
    <w:qFormat/>
    <w:uiPriority w:val="0"/>
    <w:pPr>
      <w:widowControl w:val="0"/>
      <w:adjustRightInd w:val="0"/>
      <w:snapToGrid w:val="0"/>
      <w:spacing w:line="168" w:lineRule="exact"/>
      <w:ind w:firstLine="300" w:firstLineChars="200"/>
      <w:jc w:val="left"/>
    </w:pPr>
    <w:rPr>
      <w:rFonts w:hint="default" w:ascii="宋体" w:hAnsi="宋体" w:eastAsia="宋体" w:cs="宋体"/>
      <w:color w:val="auto"/>
      <w:kern w:val="0"/>
      <w:sz w:val="12"/>
      <w:szCs w:val="12"/>
      <w:lang w:bidi="zh-TW"/>
    </w:rPr>
  </w:style>
  <w:style w:type="character" w:customStyle="1" w:styleId="280">
    <w:name w:val="Heading #2|1_"/>
    <w:basedOn w:val="55"/>
    <w:link w:val="281"/>
    <w:qFormat/>
    <w:uiPriority w:val="0"/>
    <w:rPr>
      <w:rFonts w:ascii="宋体" w:hAnsi="宋体" w:cs="宋体"/>
      <w:sz w:val="17"/>
      <w:szCs w:val="17"/>
      <w:lang w:val="zh-TW" w:eastAsia="zh-TW" w:bidi="zh-TW"/>
    </w:rPr>
  </w:style>
  <w:style w:type="paragraph" w:customStyle="1" w:styleId="281">
    <w:name w:val="Heading #2|1"/>
    <w:basedOn w:val="1"/>
    <w:link w:val="280"/>
    <w:qFormat/>
    <w:uiPriority w:val="0"/>
    <w:pPr>
      <w:widowControl w:val="0"/>
      <w:adjustRightInd w:val="0"/>
      <w:snapToGrid w:val="0"/>
      <w:spacing w:after="100" w:line="360" w:lineRule="auto"/>
      <w:ind w:firstLine="380" w:firstLineChars="200"/>
      <w:jc w:val="center"/>
      <w:outlineLvl w:val="1"/>
    </w:pPr>
    <w:rPr>
      <w:rFonts w:hint="default" w:ascii="宋体" w:hAnsi="宋体" w:eastAsia="宋体" w:cs="宋体"/>
      <w:color w:val="auto"/>
      <w:kern w:val="0"/>
      <w:sz w:val="17"/>
      <w:szCs w:val="17"/>
      <w:lang w:bidi="zh-TW"/>
    </w:rPr>
  </w:style>
  <w:style w:type="character" w:customStyle="1" w:styleId="282">
    <w:name w:val="Table caption|1_"/>
    <w:basedOn w:val="55"/>
    <w:link w:val="283"/>
    <w:qFormat/>
    <w:uiPriority w:val="0"/>
    <w:rPr>
      <w:rFonts w:ascii="宋体" w:hAnsi="宋体" w:cs="宋体"/>
      <w:sz w:val="14"/>
      <w:szCs w:val="14"/>
      <w:lang w:val="zh-TW" w:eastAsia="zh-TW" w:bidi="zh-TW"/>
    </w:rPr>
  </w:style>
  <w:style w:type="paragraph" w:customStyle="1" w:styleId="283">
    <w:name w:val="Table caption|1"/>
    <w:basedOn w:val="1"/>
    <w:link w:val="282"/>
    <w:qFormat/>
    <w:uiPriority w:val="0"/>
    <w:pPr>
      <w:widowControl w:val="0"/>
      <w:adjustRightInd w:val="0"/>
      <w:snapToGrid w:val="0"/>
      <w:spacing w:line="360" w:lineRule="auto"/>
      <w:ind w:firstLine="380" w:firstLineChars="200"/>
      <w:jc w:val="left"/>
    </w:pPr>
    <w:rPr>
      <w:rFonts w:hint="default" w:ascii="宋体" w:hAnsi="宋体" w:eastAsia="宋体" w:cs="宋体"/>
      <w:color w:val="auto"/>
      <w:kern w:val="0"/>
      <w:sz w:val="14"/>
      <w:szCs w:val="14"/>
      <w:lang w:bidi="zh-TW"/>
    </w:rPr>
  </w:style>
  <w:style w:type="paragraph" w:customStyle="1" w:styleId="284">
    <w:name w:val="正文 New"/>
    <w:qFormat/>
    <w:uiPriority w:val="0"/>
    <w:pPr>
      <w:widowControl w:val="0"/>
      <w:jc w:val="both"/>
    </w:pPr>
    <w:rPr>
      <w:rFonts w:ascii="Times New Roman" w:hAnsi="Times New Roman" w:eastAsia="宋体" w:cs="宋体"/>
      <w:kern w:val="2"/>
      <w:sz w:val="21"/>
      <w:szCs w:val="22"/>
      <w:lang w:val="en-US" w:eastAsia="zh-CN" w:bidi="ar-SA"/>
    </w:rPr>
  </w:style>
  <w:style w:type="character" w:customStyle="1" w:styleId="285">
    <w:name w:val="font51"/>
    <w:basedOn w:val="55"/>
    <w:qFormat/>
    <w:uiPriority w:val="0"/>
    <w:rPr>
      <w:rFonts w:hint="default" w:ascii="PingFang SC" w:hAnsi="PingFang SC" w:eastAsia="PingFang SC" w:cs="PingFang SC"/>
      <w:color w:val="0000FF"/>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190</Pages>
  <Words>15558</Words>
  <Characters>16745</Characters>
  <Lines>334</Lines>
  <Paragraphs>94</Paragraphs>
  <TotalTime>77</TotalTime>
  <ScaleCrop>false</ScaleCrop>
  <LinksUpToDate>false</LinksUpToDate>
  <CharactersWithSpaces>17230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2023-12-21T17:26:00Z</dcterms:created>
  <dc:creator>NTKO</dc:creator>
  <cp:lastModifiedBy>采桑</cp:lastModifiedBy>
  <cp:lastPrinted>2024-06-26T01:33:00Z</cp:lastPrinted>
  <dcterms:modified xsi:type="dcterms:W3CDTF">2026-01-21T07:38:48Z</dcterms:modified>
  <dc:title>河南信息统计职业学院金水校区物业服务项目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F43C38947F2C4A95B7346E69C228F9BE_43</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